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C0" w:rsidRDefault="00DF48C0" w:rsidP="00AD692F">
      <w:pPr>
        <w:pStyle w:val="title"/>
        <w:tabs>
          <w:tab w:val="left" w:pos="9356"/>
        </w:tabs>
        <w:ind w:right="0"/>
        <w:jc w:val="center"/>
      </w:pPr>
      <w:bookmarkStart w:id="0" w:name="_GoBack"/>
      <w:bookmarkEnd w:id="0"/>
      <w:r>
        <w:t>РЕШЕНИЕ</w:t>
      </w:r>
      <w:r>
        <w:br/>
        <w:t>о Приоритетных направлениях сотрудничества государств – участников СНГ в сфере транспорта на период до 2020 года</w:t>
      </w:r>
    </w:p>
    <w:p w:rsidR="00DF48C0" w:rsidRDefault="00DF48C0" w:rsidP="00DF48C0">
      <w:pPr>
        <w:pStyle w:val="preamble"/>
      </w:pPr>
      <w:r>
        <w:t>Совет глав правительств Содружества Независимых Государств РЕШИЛ:</w:t>
      </w:r>
    </w:p>
    <w:p w:rsidR="00DF48C0" w:rsidRDefault="00DF48C0" w:rsidP="00DF48C0">
      <w:pPr>
        <w:pStyle w:val="point"/>
        <w:spacing w:before="120"/>
      </w:pPr>
      <w:r>
        <w:t xml:space="preserve">1. Утвердить </w:t>
      </w:r>
      <w:hyperlink w:anchor="напр" w:history="1">
        <w:r w:rsidRPr="00AD692F">
          <w:rPr>
            <w:rStyle w:val="a4"/>
            <w:color w:val="auto"/>
            <w:u w:val="none"/>
          </w:rPr>
          <w:t>Приоритетные направления</w:t>
        </w:r>
      </w:hyperlink>
      <w:r w:rsidRPr="00AD692F">
        <w:t xml:space="preserve"> </w:t>
      </w:r>
      <w:r>
        <w:t>сотрудничества государств – участников СНГ в сфере транспорта на период до 2020 года (прилагаются).</w:t>
      </w:r>
    </w:p>
    <w:p w:rsidR="00DF48C0" w:rsidRDefault="00DF48C0" w:rsidP="00DF48C0">
      <w:pPr>
        <w:pStyle w:val="point"/>
      </w:pPr>
      <w:r>
        <w:t>2. Заинтересованным министерствам и ведомствам государств – участников СНГ, Координационному транспортному совещанию государств – участников Содружества Независимых Государств, Совету по железнодорожному транспорту государств – участников Содружества, Межправительственному совету дорожников, Совету по авиации и использованию воздушного пространства и Межгосударственному авиационному комитету принять меры по реализации указанных Приоритетных направлений.</w:t>
      </w:r>
    </w:p>
    <w:p w:rsidR="00DF48C0" w:rsidRDefault="00DF48C0" w:rsidP="00DF48C0">
      <w:pPr>
        <w:pStyle w:val="point"/>
      </w:pPr>
      <w:r>
        <w:t xml:space="preserve">3. Настоящее Решение вступает в силу </w:t>
      </w:r>
      <w:proofErr w:type="gramStart"/>
      <w:r>
        <w:rPr>
          <w:rStyle w:val="grame"/>
        </w:rPr>
        <w:t>с даты</w:t>
      </w:r>
      <w:proofErr w:type="gramEnd"/>
      <w:r>
        <w:t xml:space="preserve"> его подписания, а для государств, законодательство которых требует выполнения внутригосударственных процедур, необходимых для его вступления в силу, – с даты сдачи соответствующих документов депозитарию.</w:t>
      </w:r>
    </w:p>
    <w:p w:rsidR="00DF48C0" w:rsidRDefault="00DF48C0" w:rsidP="00DF48C0">
      <w:pPr>
        <w:pStyle w:val="newncpi"/>
        <w:spacing w:before="120"/>
      </w:pPr>
      <w:r>
        <w:t>Совершено в городе Кишиневе 14 ноября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</w:t>
      </w:r>
    </w:p>
    <w:p w:rsidR="00DF48C0" w:rsidRDefault="00DF48C0" w:rsidP="00DF4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57"/>
        <w:gridCol w:w="1780"/>
        <w:gridCol w:w="2245"/>
        <w:gridCol w:w="707"/>
        <w:gridCol w:w="872"/>
        <w:gridCol w:w="198"/>
        <w:gridCol w:w="1776"/>
      </w:tblGrid>
      <w:tr w:rsidR="00DF48C0" w:rsidTr="00DF48C0">
        <w:tc>
          <w:tcPr>
            <w:tcW w:w="190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Азербайджанской Республики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899" w:type="pct"/>
            <w:gridSpan w:val="4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Республики Молдова</w:t>
            </w:r>
          </w:p>
        </w:tc>
      </w:tr>
      <w:tr w:rsidR="00DF48C0" w:rsidTr="00DF48C0">
        <w:tc>
          <w:tcPr>
            <w:tcW w:w="866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03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ers"/>
              </w:rPr>
              <w:t xml:space="preserve">А. </w:t>
            </w:r>
            <w:proofErr w:type="spellStart"/>
            <w:r w:rsidRPr="00BB6C79">
              <w:rPr>
                <w:rStyle w:val="pers"/>
              </w:rPr>
              <w:t>Раси</w:t>
            </w:r>
            <w:proofErr w:type="spellEnd"/>
            <w:r w:rsidRPr="00BB6C79">
              <w:rPr>
                <w:rStyle w:val="pers"/>
              </w:rPr>
              <w:t>-заде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844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05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ers"/>
              </w:rPr>
              <w:t xml:space="preserve">З. </w:t>
            </w:r>
            <w:proofErr w:type="spellStart"/>
            <w:r w:rsidRPr="00BB6C79">
              <w:rPr>
                <w:rStyle w:val="pers"/>
              </w:rPr>
              <w:t>Гречаный</w:t>
            </w:r>
            <w:proofErr w:type="spellEnd"/>
          </w:p>
        </w:tc>
      </w:tr>
      <w:tr w:rsidR="00DF48C0" w:rsidTr="00DF48C0">
        <w:tc>
          <w:tcPr>
            <w:tcW w:w="866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035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hyperlink w:anchor="аз" w:history="1">
              <w:r w:rsidRPr="00AD692F">
                <w:rPr>
                  <w:rStyle w:val="a4"/>
                  <w:b/>
                  <w:bCs/>
                  <w:color w:val="auto"/>
                  <w:sz w:val="22"/>
                  <w:szCs w:val="22"/>
                </w:rPr>
                <w:t>с особым мнением</w:t>
              </w:r>
            </w:hyperlink>
          </w:p>
        </w:tc>
        <w:tc>
          <w:tcPr>
            <w:tcW w:w="1200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844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055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hyperlink w:anchor="молд" w:history="1">
              <w:r w:rsidRPr="00AD692F">
                <w:rPr>
                  <w:rStyle w:val="a4"/>
                  <w:b/>
                  <w:bCs/>
                  <w:color w:val="auto"/>
                  <w:sz w:val="22"/>
                  <w:szCs w:val="22"/>
                </w:rPr>
                <w:t>с оговоркой</w:t>
              </w:r>
            </w:hyperlink>
          </w:p>
        </w:tc>
      </w:tr>
      <w:tr w:rsidR="00DF48C0" w:rsidTr="00DF48C0">
        <w:tc>
          <w:tcPr>
            <w:tcW w:w="1901" w:type="pct"/>
            <w:gridSpan w:val="3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200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899" w:type="pct"/>
            <w:gridSpan w:val="4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</w:tr>
      <w:tr w:rsidR="00DF48C0" w:rsidTr="00DF48C0">
        <w:tc>
          <w:tcPr>
            <w:tcW w:w="1901" w:type="pct"/>
            <w:gridSpan w:val="3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rPr>
                <w:rStyle w:val="post"/>
              </w:rPr>
              <w:t>За Правительство</w:t>
            </w:r>
            <w:r w:rsidRPr="00AD692F">
              <w:rPr>
                <w:b/>
                <w:bCs/>
              </w:rPr>
              <w:br/>
            </w:r>
            <w:r w:rsidRPr="00AD692F">
              <w:rPr>
                <w:rStyle w:val="post"/>
              </w:rPr>
              <w:t>Республики Армения</w:t>
            </w:r>
          </w:p>
        </w:tc>
        <w:tc>
          <w:tcPr>
            <w:tcW w:w="1200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899" w:type="pct"/>
            <w:gridSpan w:val="4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rPr>
                <w:rStyle w:val="post"/>
              </w:rPr>
              <w:t>За Правительство</w:t>
            </w:r>
            <w:r w:rsidRPr="00AD692F">
              <w:rPr>
                <w:b/>
                <w:bCs/>
              </w:rPr>
              <w:br/>
            </w:r>
            <w:r w:rsidRPr="00AD692F">
              <w:rPr>
                <w:rStyle w:val="post"/>
              </w:rPr>
              <w:t>Российской Федерации</w:t>
            </w:r>
          </w:p>
        </w:tc>
      </w:tr>
      <w:tr w:rsidR="00DF48C0" w:rsidTr="00DF48C0">
        <w:tc>
          <w:tcPr>
            <w:tcW w:w="866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035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rPr>
                <w:rStyle w:val="pers"/>
              </w:rPr>
              <w:t>Т. Саркисян</w:t>
            </w:r>
          </w:p>
        </w:tc>
        <w:tc>
          <w:tcPr>
            <w:tcW w:w="1200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844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055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rPr>
                <w:rStyle w:val="pers"/>
              </w:rPr>
              <w:t>В. Путин</w:t>
            </w:r>
          </w:p>
        </w:tc>
      </w:tr>
      <w:tr w:rsidR="00DF48C0" w:rsidTr="00DF48C0">
        <w:tc>
          <w:tcPr>
            <w:tcW w:w="866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035" w:type="pct"/>
            <w:gridSpan w:val="2"/>
            <w:vAlign w:val="bottom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  <w:rPr>
                <w:rStyle w:val="pers"/>
                <w:u w:val="single"/>
              </w:rPr>
            </w:pPr>
            <w:hyperlink w:anchor="арм" w:history="1">
              <w:r w:rsidRPr="00AD692F">
                <w:rPr>
                  <w:rStyle w:val="a4"/>
                  <w:b/>
                  <w:bCs/>
                  <w:color w:val="auto"/>
                  <w:sz w:val="22"/>
                  <w:szCs w:val="22"/>
                </w:rPr>
                <w:t>с особым мнением</w:t>
              </w:r>
            </w:hyperlink>
          </w:p>
        </w:tc>
        <w:tc>
          <w:tcPr>
            <w:tcW w:w="1200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844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055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</w:tr>
      <w:tr w:rsidR="00DF48C0" w:rsidTr="00DF48C0">
        <w:tc>
          <w:tcPr>
            <w:tcW w:w="1901" w:type="pct"/>
            <w:gridSpan w:val="3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200" w:type="pct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899" w:type="pct"/>
            <w:gridSpan w:val="4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</w:tr>
      <w:tr w:rsidR="00DF48C0" w:rsidTr="00DF48C0">
        <w:tc>
          <w:tcPr>
            <w:tcW w:w="190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Республики Беларусь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899" w:type="pct"/>
            <w:gridSpan w:val="4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Республики Таджикистан</w:t>
            </w:r>
          </w:p>
        </w:tc>
      </w:tr>
      <w:tr w:rsidR="00DF48C0" w:rsidTr="00DF48C0">
        <w:tc>
          <w:tcPr>
            <w:tcW w:w="866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03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ers"/>
              </w:rPr>
              <w:t xml:space="preserve">С. </w:t>
            </w:r>
            <w:proofErr w:type="spellStart"/>
            <w:r w:rsidRPr="00BB6C79">
              <w:rPr>
                <w:rStyle w:val="pers"/>
              </w:rPr>
              <w:t>Сидорский</w:t>
            </w:r>
            <w:proofErr w:type="spellEnd"/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844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05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ers"/>
              </w:rPr>
              <w:t xml:space="preserve">А. </w:t>
            </w:r>
            <w:proofErr w:type="spellStart"/>
            <w:r w:rsidRPr="00BB6C79">
              <w:rPr>
                <w:rStyle w:val="pers"/>
              </w:rPr>
              <w:t>Акилов</w:t>
            </w:r>
            <w:proofErr w:type="spellEnd"/>
          </w:p>
        </w:tc>
      </w:tr>
      <w:tr w:rsidR="00DF48C0" w:rsidTr="00DF48C0">
        <w:tc>
          <w:tcPr>
            <w:tcW w:w="190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899" w:type="pct"/>
            <w:gridSpan w:val="4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</w:tr>
      <w:tr w:rsidR="00DF48C0" w:rsidTr="00DF48C0">
        <w:tc>
          <w:tcPr>
            <w:tcW w:w="190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Грузии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899" w:type="pct"/>
            <w:gridSpan w:val="4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Туркменистана</w:t>
            </w:r>
          </w:p>
        </w:tc>
      </w:tr>
      <w:tr w:rsidR="00DF48C0" w:rsidTr="00DF48C0">
        <w:tc>
          <w:tcPr>
            <w:tcW w:w="950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951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950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949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---------</w:t>
            </w:r>
          </w:p>
        </w:tc>
      </w:tr>
      <w:tr w:rsidR="00DF48C0" w:rsidTr="00DF48C0">
        <w:tc>
          <w:tcPr>
            <w:tcW w:w="190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899" w:type="pct"/>
            <w:gridSpan w:val="4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</w:tr>
      <w:tr w:rsidR="00DF48C0" w:rsidTr="00DF48C0">
        <w:tc>
          <w:tcPr>
            <w:tcW w:w="190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Республики Казахстан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899" w:type="pct"/>
            <w:gridSpan w:val="4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Республики Узбекистан</w:t>
            </w:r>
          </w:p>
        </w:tc>
      </w:tr>
      <w:tr w:rsidR="00DF48C0" w:rsidTr="00DF48C0">
        <w:tc>
          <w:tcPr>
            <w:tcW w:w="866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03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ers"/>
              </w:rPr>
              <w:t xml:space="preserve">К. </w:t>
            </w:r>
            <w:proofErr w:type="spellStart"/>
            <w:r w:rsidRPr="00BB6C79">
              <w:rPr>
                <w:rStyle w:val="pers"/>
              </w:rPr>
              <w:t>Масимов</w:t>
            </w:r>
            <w:proofErr w:type="spellEnd"/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378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52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  <w:rPr>
                <w:rStyle w:val="post"/>
              </w:rPr>
            </w:pPr>
            <w:r w:rsidRPr="00BB6C79">
              <w:rPr>
                <w:rStyle w:val="post"/>
              </w:rPr>
              <w:t xml:space="preserve">Заместитель Премьер-министра </w:t>
            </w:r>
          </w:p>
        </w:tc>
      </w:tr>
      <w:tr w:rsidR="00DF48C0" w:rsidTr="00DF48C0">
        <w:tc>
          <w:tcPr>
            <w:tcW w:w="866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</w:p>
        </w:tc>
        <w:tc>
          <w:tcPr>
            <w:tcW w:w="103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  <w:rPr>
                <w:rStyle w:val="pers"/>
              </w:rPr>
            </w:pP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</w:p>
        </w:tc>
        <w:tc>
          <w:tcPr>
            <w:tcW w:w="378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</w:p>
        </w:tc>
        <w:tc>
          <w:tcPr>
            <w:tcW w:w="152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center"/>
              <w:rPr>
                <w:rStyle w:val="pers"/>
              </w:rPr>
            </w:pPr>
            <w:r w:rsidRPr="00BB6C79">
              <w:rPr>
                <w:rStyle w:val="pers"/>
              </w:rPr>
              <w:t xml:space="preserve">Р. </w:t>
            </w:r>
            <w:proofErr w:type="spellStart"/>
            <w:r w:rsidRPr="00BB6C79">
              <w:rPr>
                <w:rStyle w:val="pers"/>
              </w:rPr>
              <w:t>Касымов</w:t>
            </w:r>
            <w:proofErr w:type="spellEnd"/>
          </w:p>
        </w:tc>
      </w:tr>
      <w:tr w:rsidR="00DF48C0" w:rsidTr="00DF48C0">
        <w:tc>
          <w:tcPr>
            <w:tcW w:w="190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899" w:type="pct"/>
            <w:gridSpan w:val="4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</w:tr>
      <w:tr w:rsidR="00DF48C0" w:rsidTr="00DF48C0">
        <w:tc>
          <w:tcPr>
            <w:tcW w:w="1901" w:type="pct"/>
            <w:gridSpan w:val="3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Кыргызской Республики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899" w:type="pct"/>
            <w:gridSpan w:val="4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ost"/>
              </w:rPr>
              <w:t>За Правительство</w:t>
            </w:r>
            <w:r w:rsidRPr="00BB6C79">
              <w:rPr>
                <w:b/>
                <w:bCs/>
              </w:rPr>
              <w:br/>
            </w:r>
            <w:r w:rsidRPr="00BB6C79">
              <w:rPr>
                <w:rStyle w:val="post"/>
              </w:rPr>
              <w:t>Украины</w:t>
            </w:r>
          </w:p>
        </w:tc>
      </w:tr>
      <w:tr w:rsidR="00DF48C0" w:rsidTr="00DF48C0">
        <w:tc>
          <w:tcPr>
            <w:tcW w:w="866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03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ers"/>
              </w:rPr>
              <w:t xml:space="preserve">И. </w:t>
            </w:r>
            <w:proofErr w:type="spellStart"/>
            <w:r w:rsidRPr="00BB6C79">
              <w:rPr>
                <w:rStyle w:val="pers"/>
              </w:rPr>
              <w:t>Чудинов</w:t>
            </w:r>
            <w:proofErr w:type="spellEnd"/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844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05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rPr>
                <w:rStyle w:val="pers"/>
              </w:rPr>
              <w:t>Ю. Тимошенко</w:t>
            </w:r>
          </w:p>
        </w:tc>
      </w:tr>
      <w:tr w:rsidR="00DF48C0" w:rsidTr="00DF48C0">
        <w:tc>
          <w:tcPr>
            <w:tcW w:w="866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035" w:type="pct"/>
            <w:gridSpan w:val="2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1200" w:type="pct"/>
          </w:tcPr>
          <w:p w:rsidR="00DF48C0" w:rsidRDefault="00DF48C0" w:rsidP="00DF48C0">
            <w:pPr>
              <w:spacing w:before="100" w:beforeAutospacing="1" w:after="100" w:afterAutospacing="1"/>
              <w:jc w:val="both"/>
            </w:pPr>
            <w:r w:rsidRPr="00BB6C79">
              <w:t> </w:t>
            </w:r>
          </w:p>
        </w:tc>
        <w:tc>
          <w:tcPr>
            <w:tcW w:w="844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r w:rsidRPr="00AD692F">
              <w:t> </w:t>
            </w:r>
          </w:p>
        </w:tc>
        <w:tc>
          <w:tcPr>
            <w:tcW w:w="1055" w:type="pct"/>
            <w:gridSpan w:val="2"/>
          </w:tcPr>
          <w:p w:rsidR="00DF48C0" w:rsidRPr="00AD692F" w:rsidRDefault="00DF48C0" w:rsidP="00DF48C0">
            <w:pPr>
              <w:spacing w:before="100" w:beforeAutospacing="1" w:after="100" w:afterAutospacing="1"/>
              <w:jc w:val="both"/>
            </w:pPr>
            <w:hyperlink w:anchor="укр" w:history="1">
              <w:r w:rsidRPr="00AD692F">
                <w:rPr>
                  <w:rStyle w:val="a4"/>
                  <w:b/>
                  <w:bCs/>
                  <w:color w:val="auto"/>
                  <w:sz w:val="22"/>
                  <w:szCs w:val="22"/>
                </w:rPr>
                <w:t>с оговоркой</w:t>
              </w:r>
            </w:hyperlink>
          </w:p>
        </w:tc>
      </w:tr>
    </w:tbl>
    <w:p w:rsidR="00DF48C0" w:rsidRDefault="00DF48C0" w:rsidP="00DF48C0">
      <w:pPr>
        <w:pStyle w:val="newncpi"/>
        <w:rPr>
          <w:lang w:val="en-US"/>
        </w:rPr>
      </w:pPr>
      <w:r>
        <w:t> </w:t>
      </w:r>
    </w:p>
    <w:p w:rsidR="00AD692F" w:rsidRDefault="00AD692F" w:rsidP="00DF48C0">
      <w:pPr>
        <w:pStyle w:val="newncpi"/>
        <w:rPr>
          <w:lang w:val="en-US"/>
        </w:rPr>
      </w:pPr>
    </w:p>
    <w:p w:rsidR="00AD692F" w:rsidRDefault="00AD692F" w:rsidP="00DF48C0">
      <w:pPr>
        <w:pStyle w:val="newncpi"/>
        <w:rPr>
          <w:lang w:val="en-US"/>
        </w:rPr>
      </w:pPr>
    </w:p>
    <w:p w:rsidR="00AD692F" w:rsidRDefault="00AD692F" w:rsidP="00DF48C0">
      <w:pPr>
        <w:pStyle w:val="newncpi"/>
        <w:rPr>
          <w:lang w:val="en-US"/>
        </w:rPr>
      </w:pPr>
    </w:p>
    <w:p w:rsidR="00AD692F" w:rsidRPr="00AD692F" w:rsidRDefault="00AD692F" w:rsidP="00DF48C0">
      <w:pPr>
        <w:pStyle w:val="newncpi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4455"/>
      </w:tblGrid>
      <w:tr w:rsidR="00DF48C0" w:rsidTr="00DF48C0">
        <w:tc>
          <w:tcPr>
            <w:tcW w:w="2619" w:type="pct"/>
          </w:tcPr>
          <w:p w:rsidR="00DF48C0" w:rsidRDefault="00DF48C0" w:rsidP="00DF48C0">
            <w:pPr>
              <w:pStyle w:val="cap1"/>
              <w:jc w:val="both"/>
            </w:pPr>
            <w:r w:rsidRPr="00BB6C79">
              <w:lastRenderedPageBreak/>
              <w:t> </w:t>
            </w:r>
          </w:p>
        </w:tc>
        <w:tc>
          <w:tcPr>
            <w:tcW w:w="2381" w:type="pct"/>
          </w:tcPr>
          <w:p w:rsidR="00DF48C0" w:rsidRDefault="00DF48C0" w:rsidP="00DF48C0">
            <w:pPr>
              <w:pStyle w:val="capu1"/>
              <w:jc w:val="both"/>
            </w:pPr>
            <w:r w:rsidRPr="00BB6C79">
              <w:t>Утверждены</w:t>
            </w:r>
          </w:p>
          <w:p w:rsidR="00DF48C0" w:rsidRPr="00BB6C79" w:rsidRDefault="00DF48C0" w:rsidP="00DF48C0">
            <w:pPr>
              <w:pStyle w:val="cap1"/>
              <w:jc w:val="both"/>
            </w:pPr>
            <w:r w:rsidRPr="00BB6C79">
              <w:t xml:space="preserve">Решением </w:t>
            </w:r>
            <w:proofErr w:type="gramStart"/>
            <w:r w:rsidRPr="00BB6C79">
              <w:t>Совета глав правительств Содружества Независимых Государств</w:t>
            </w:r>
            <w:proofErr w:type="gramEnd"/>
            <w:r w:rsidRPr="00BB6C79">
              <w:t xml:space="preserve"> о Приоритетных направлениях сотрудничества государств – участников СНГ в сфере транспорта на период до 2020 года</w:t>
            </w:r>
          </w:p>
          <w:p w:rsidR="00DF48C0" w:rsidRDefault="00DF48C0" w:rsidP="00DF48C0">
            <w:pPr>
              <w:pStyle w:val="cap1"/>
              <w:jc w:val="both"/>
            </w:pPr>
            <w:r w:rsidRPr="00BB6C79">
              <w:t>от 14 ноября 2008 года</w:t>
            </w:r>
          </w:p>
        </w:tc>
      </w:tr>
    </w:tbl>
    <w:p w:rsidR="00DF48C0" w:rsidRDefault="00DF48C0" w:rsidP="00DF48C0">
      <w:pPr>
        <w:pStyle w:val="nonumheader"/>
      </w:pPr>
      <w:bookmarkStart w:id="1" w:name="напр"/>
      <w:r>
        <w:t>ПРИОРИТЕТНЫЕ НАПРАВЛЕНИЯ</w:t>
      </w:r>
      <w:r>
        <w:br/>
      </w:r>
      <w:bookmarkEnd w:id="1"/>
      <w:r>
        <w:t>сотрудничества государств – участников СНГ</w:t>
      </w:r>
      <w:r>
        <w:br/>
        <w:t>в сфере транспорта на период до 2020 года</w:t>
      </w:r>
    </w:p>
    <w:p w:rsidR="00DF48C0" w:rsidRDefault="00DF48C0" w:rsidP="00DF48C0">
      <w:pPr>
        <w:pStyle w:val="newncpi"/>
      </w:pPr>
      <w:r>
        <w:t xml:space="preserve">Концепцией дальнейшего развития Содружества Независимых Государств, </w:t>
      </w:r>
      <w:r w:rsidRPr="00AD692F">
        <w:t xml:space="preserve">одобренной </w:t>
      </w:r>
      <w:hyperlink r:id="rId5" w:anchor="reestr/view/text?doc=2298" w:history="1">
        <w:r w:rsidRPr="00AD692F">
          <w:rPr>
            <w:rStyle w:val="a4"/>
            <w:color w:val="auto"/>
            <w:u w:val="none"/>
          </w:rPr>
          <w:t>Решением</w:t>
        </w:r>
      </w:hyperlink>
      <w:r w:rsidRPr="00AD692F">
        <w:t xml:space="preserve"> Совета</w:t>
      </w:r>
      <w:r>
        <w:t xml:space="preserve"> глав государств СНГ от 5 октября 2007 года, определено, что одной из основных целей Содружества Независимых Государств является формирование в долгосрочной перспективе интегрированного экономического объединения заинтересованных государств, обеспечивающего эффективное развитие каждого его участника.</w:t>
      </w:r>
    </w:p>
    <w:p w:rsidR="00DF48C0" w:rsidRDefault="00DF48C0" w:rsidP="00DF48C0">
      <w:pPr>
        <w:pStyle w:val="newncpi"/>
      </w:pPr>
      <w:proofErr w:type="gramStart"/>
      <w:r>
        <w:t>В качестве необходимых условий стратегического взаимодействия в сфере транспорта следует рассматривать системное и последовательное совершенствование (с учетом достигнутого уровня) проводимой государствами – участниками СНГ согласованной транспортной политики, являющейся ключевым механизмом экономической интеграции, путем выделения приоритетных направлений взаимодействия на период до 2020 года, выявления новых актуальных аспектов сотрудничества в области транспорта и разработки комплекса мероприятий, направленных на достижение поставленных целей.</w:t>
      </w:r>
      <w:proofErr w:type="gramEnd"/>
    </w:p>
    <w:p w:rsidR="00DF48C0" w:rsidRDefault="00DF48C0" w:rsidP="00DF48C0">
      <w:pPr>
        <w:pStyle w:val="newncpi"/>
        <w:jc w:val="center"/>
      </w:pPr>
      <w:r>
        <w:t>* * *</w:t>
      </w:r>
    </w:p>
    <w:p w:rsidR="00DF48C0" w:rsidRDefault="00DF48C0" w:rsidP="00DF48C0">
      <w:pPr>
        <w:pStyle w:val="newncpi"/>
      </w:pPr>
      <w:r>
        <w:rPr>
          <w:b/>
          <w:bCs/>
        </w:rPr>
        <w:t>Исходными при выработке данных предложений являются следующие положения.</w:t>
      </w:r>
    </w:p>
    <w:p w:rsidR="00DF48C0" w:rsidRDefault="00DF48C0" w:rsidP="00DF48C0">
      <w:pPr>
        <w:pStyle w:val="newncpi"/>
      </w:pPr>
      <w:r>
        <w:t>Транспорт наряду с другими инфраструктурными отраслями обеспечивает базовые условия жизнедеятельности общества, выступает в качестве важного инструмента достижения социальных, экономических, внешнеполитических целей. Его устойчивое развитие в Содружестве способствует пространственной доступности национальных территорий, свободному перемещению товаров и услуг, конкуренции и свободе экономической деятельности, улучшению условий и качества жизни населения.</w:t>
      </w:r>
    </w:p>
    <w:p w:rsidR="00DF48C0" w:rsidRDefault="00DF48C0" w:rsidP="00DF48C0">
      <w:pPr>
        <w:pStyle w:val="newncpi"/>
      </w:pPr>
      <w:r>
        <w:t>Функционирование и развитие транспорта в государствах – участниках СНГ осуществляется в соответствии с их национальным законодательством, а также стратегиями (концепциями, основными направлениями и т. п.</w:t>
      </w:r>
      <w:proofErr w:type="gramStart"/>
      <w:r>
        <w:t> )</w:t>
      </w:r>
      <w:proofErr w:type="gramEnd"/>
      <w:r>
        <w:t xml:space="preserve"> в транспортной сфере и взаимосвязано с общими направлениями (прогнозами) их социально-экономического развития, определяющими потребности в транспортных услугах.</w:t>
      </w:r>
    </w:p>
    <w:p w:rsidR="00DF48C0" w:rsidRDefault="00DF48C0" w:rsidP="00DF48C0">
      <w:pPr>
        <w:pStyle w:val="newncpi"/>
      </w:pPr>
      <w:r>
        <w:t>Согласованность региональной транспортной политики обеспечивается путем координации государствами – участниками СНГ систем государственного регулирования и реализации программ ее развития, совершенствования законодательства в области транспорта, а также согласованным использованием транспортно-транзитного потенциала. При этом реализация согласованной транспортной политики учитывает различия в современном состоянии транспортных систем государств – участников СНГ и направлена, в том числе, на их выравнивание.</w:t>
      </w:r>
    </w:p>
    <w:p w:rsidR="00DF48C0" w:rsidRDefault="00DF48C0" w:rsidP="00DF48C0">
      <w:pPr>
        <w:pStyle w:val="newncpi"/>
      </w:pPr>
      <w:r>
        <w:t xml:space="preserve">Необходимость развития экономических отношений государств – участников СНГ </w:t>
      </w:r>
      <w:proofErr w:type="gramStart"/>
      <w:r>
        <w:t>обусловлена</w:t>
      </w:r>
      <w:proofErr w:type="gramEnd"/>
      <w:r>
        <w:t xml:space="preserve"> прежде всего развитием транспортных систем государств, а также возможностью обеспечения их национальных интересов на мировом рынке транспортных услуг, и в первую очередь за счет развития регионального сотрудничества в области транспорта.</w:t>
      </w:r>
    </w:p>
    <w:p w:rsidR="00DF48C0" w:rsidRDefault="00DF48C0" w:rsidP="00DF48C0">
      <w:pPr>
        <w:pStyle w:val="newncpi"/>
      </w:pPr>
      <w:r>
        <w:t xml:space="preserve">При этом осуществление транспортной интеграции в рамках Европейского союза, Азиатско-Тихоокеанского экономического союза, Шанхайской организации сотрудничества и других региональных объединений </w:t>
      </w:r>
      <w:proofErr w:type="gramStart"/>
      <w:r>
        <w:t>направлено</w:t>
      </w:r>
      <w:proofErr w:type="gramEnd"/>
      <w:r>
        <w:t xml:space="preserve"> прежде всего на создание необходимых предпосылок для диверсификации транспортной деятельности, основанной, в частности, на развитии международных транспортных коридоров (далее – </w:t>
      </w:r>
      <w:r>
        <w:lastRenderedPageBreak/>
        <w:t>МТК), устранении барьеров на пути международного транзитного процесса, проведении согласованной тарифной политики.</w:t>
      </w:r>
    </w:p>
    <w:p w:rsidR="00DF48C0" w:rsidRDefault="00DF48C0" w:rsidP="00DF48C0">
      <w:pPr>
        <w:pStyle w:val="newncpi"/>
      </w:pPr>
      <w:r>
        <w:t>За прошедшие 16 лет сотрудничества в транспортной сфере:</w:t>
      </w:r>
    </w:p>
    <w:p w:rsidR="00DF48C0" w:rsidRDefault="00DF48C0" w:rsidP="00DF48C0">
      <w:pPr>
        <w:pStyle w:val="newncpi"/>
      </w:pPr>
      <w:r>
        <w:t>– заложены основы международной правовой базы функционирования транспорта (в 1991–2007 годах принято около 45 документов), отвечающей новым социально-экономическим и рыночным условиям, обеспечивающей межгосударственное регулирование транспортной деятельности;</w:t>
      </w:r>
    </w:p>
    <w:p w:rsidR="00DF48C0" w:rsidRDefault="00DF48C0" w:rsidP="00DF48C0">
      <w:pPr>
        <w:pStyle w:val="newncpi"/>
      </w:pPr>
      <w:r>
        <w:t>– сформированы и функционируют органы отраслевого сотрудничества, государства – участники СНГ входят в региональные организации по видам транспорта;</w:t>
      </w:r>
    </w:p>
    <w:p w:rsidR="00DF48C0" w:rsidRDefault="00DF48C0" w:rsidP="00DF48C0">
      <w:pPr>
        <w:pStyle w:val="newncpi"/>
      </w:pPr>
      <w:proofErr w:type="gramStart"/>
      <w:r>
        <w:t xml:space="preserve">– проводится согласованная транспортная политика, направленная на решение (в соответствии с имеющимся ресурсным обеспечением на национальном и межгосударственном уровнях) отдельных задач </w:t>
      </w:r>
      <w:proofErr w:type="spellStart"/>
      <w:r>
        <w:t>общетраспортного</w:t>
      </w:r>
      <w:proofErr w:type="spellEnd"/>
      <w:r>
        <w:t xml:space="preserve"> характера, а также развития отдельных видов транспорта;</w:t>
      </w:r>
      <w:proofErr w:type="gramEnd"/>
    </w:p>
    <w:p w:rsidR="00DF48C0" w:rsidRDefault="00DF48C0" w:rsidP="00DF48C0">
      <w:pPr>
        <w:pStyle w:val="newncpi"/>
      </w:pPr>
      <w:r>
        <w:t>– в области железнодорожного транспорта – ведущей транспортной отрасли сохранено и развивается организационное, тарифно-экономическое, технико-технологическое, информационное единство;</w:t>
      </w:r>
    </w:p>
    <w:p w:rsidR="00DF48C0" w:rsidRDefault="00DF48C0" w:rsidP="00DF48C0">
      <w:pPr>
        <w:pStyle w:val="newncpi"/>
      </w:pPr>
      <w:r>
        <w:t>– проводится согласованная тарифная политика в международном грузовом железнодорожном сообщении;</w:t>
      </w:r>
    </w:p>
    <w:p w:rsidR="00DF48C0" w:rsidRDefault="00DF48C0" w:rsidP="00DF48C0">
      <w:pPr>
        <w:pStyle w:val="newncpi"/>
      </w:pPr>
      <w:r>
        <w:t>– решаются задачи, направленные на развитие международных автомобильных перевозок;</w:t>
      </w:r>
    </w:p>
    <w:p w:rsidR="00DF48C0" w:rsidRDefault="00DF48C0" w:rsidP="00DF48C0">
      <w:pPr>
        <w:pStyle w:val="newncpi"/>
      </w:pPr>
      <w:r>
        <w:t>– реализуются мероприятия по развитию гражданской авиации и обеспечению безопасности полетов, гармонизации национальных систем организации воздушного движения;</w:t>
      </w:r>
    </w:p>
    <w:p w:rsidR="00DF48C0" w:rsidRDefault="00DF48C0" w:rsidP="00DF48C0">
      <w:pPr>
        <w:pStyle w:val="newncpi"/>
      </w:pPr>
      <w:r>
        <w:t>– разрабатываются и реализуются международные проекты в сфере морского и речного транспорта;</w:t>
      </w:r>
    </w:p>
    <w:p w:rsidR="00DF48C0" w:rsidRDefault="00DF48C0" w:rsidP="00DF48C0">
      <w:pPr>
        <w:pStyle w:val="newncpi"/>
      </w:pPr>
      <w:r>
        <w:t>– заложены основы сотрудничества в сфере международных транспортных коридоров.</w:t>
      </w:r>
    </w:p>
    <w:p w:rsidR="00DF48C0" w:rsidRDefault="00DF48C0" w:rsidP="00DF48C0">
      <w:pPr>
        <w:pStyle w:val="newncpi"/>
      </w:pPr>
      <w:r>
        <w:t>Вместе с тем, несмотря на общую адаптацию транспорта к рыночным условиям, а также приведенные выше позитивные факторы сотрудничества, уровень транспортного взаимодействия в Содружестве в настоящее время нельзя считать оптимальным.</w:t>
      </w:r>
    </w:p>
    <w:p w:rsidR="00DF48C0" w:rsidRDefault="00DF48C0" w:rsidP="00DF48C0">
      <w:pPr>
        <w:pStyle w:val="newncpi"/>
      </w:pPr>
      <w:r>
        <w:t>Доля транспортных затрат в себестоимости продукции при перевозках грузов в международном сообщении между государствами – участниками Содружества относительно высока и составляет 20–25 %. Наряду с такими объективными факторами, как большое расстояние перевозок и сложные природные условия, это связано с недостаточным уровнем развития технологий организации товародвижения.</w:t>
      </w:r>
    </w:p>
    <w:p w:rsidR="00DF48C0" w:rsidRDefault="00DF48C0" w:rsidP="00DF48C0">
      <w:pPr>
        <w:pStyle w:val="newncpi"/>
      </w:pPr>
      <w:proofErr w:type="gramStart"/>
      <w:r>
        <w:t>Обеспечение растущего спроса на качественные услуги, прежде всего на международные перевозки грузов железнодорожным и автомобильным видами транспорта, происходит на фоне недостаточного технического уровня национальных транспортных систем, слабой организации взаимодействия видов транспорта на межгосударственном уровне, высокой изношенности подвижного состава, недостаточных темпов развития сетей железных и автомобильных дорог СНГ, а также накопленного отставания в области внедрения транспортно-логистических технологий.</w:t>
      </w:r>
      <w:proofErr w:type="gramEnd"/>
    </w:p>
    <w:p w:rsidR="00DF48C0" w:rsidRDefault="00DF48C0" w:rsidP="00DF48C0">
      <w:pPr>
        <w:pStyle w:val="newncpi"/>
      </w:pPr>
      <w:proofErr w:type="gramStart"/>
      <w:r>
        <w:t>Проблемы в развитии транспорта в СНГ обостряются из-за существующих инфраструктурных ограничений, а также различного рода фискально-административных и технических барьеров (в частности, в международном автомобильном сообщении выявлено 15 основных барьеров), что не позволяет эффективно реализовать транзитный потенциал региона СНГ с использованием международных транспортных коридоров, а также обеспечивать достаточную транспортную доступность национальных территорий.</w:t>
      </w:r>
      <w:proofErr w:type="gramEnd"/>
    </w:p>
    <w:p w:rsidR="00DF48C0" w:rsidRDefault="00DF48C0" w:rsidP="00DF48C0">
      <w:pPr>
        <w:pStyle w:val="newncpi"/>
      </w:pPr>
      <w:r>
        <w:t>В развитии регионального сотрудничества в области транспорта при реализации многосторонних транспортно-</w:t>
      </w:r>
      <w:proofErr w:type="gramStart"/>
      <w:r>
        <w:t>экономических проектов</w:t>
      </w:r>
      <w:proofErr w:type="gramEnd"/>
      <w:r>
        <w:t xml:space="preserve"> не используется программно-целевой подход для создания межгосударственного механизма решения вопросов </w:t>
      </w:r>
      <w:proofErr w:type="spellStart"/>
      <w:r>
        <w:t>взаимоувязки</w:t>
      </w:r>
      <w:proofErr w:type="spellEnd"/>
      <w:r>
        <w:t xml:space="preserve"> ресурсов, определения исполнителей и сроков осуществления мероприятий.</w:t>
      </w:r>
    </w:p>
    <w:p w:rsidR="00DF48C0" w:rsidRDefault="00DF48C0" w:rsidP="00DF48C0">
      <w:pPr>
        <w:pStyle w:val="newncpi"/>
      </w:pPr>
      <w:r>
        <w:t>До настоящего времени в Содружестве не сформирована система, обеспечивающая международные перевозки многостороннего формата в сфере водного (речного/морского) транспорта.</w:t>
      </w:r>
    </w:p>
    <w:p w:rsidR="00DF48C0" w:rsidRDefault="00DF48C0" w:rsidP="00DF48C0">
      <w:pPr>
        <w:pStyle w:val="newncpi"/>
      </w:pPr>
      <w:r>
        <w:lastRenderedPageBreak/>
        <w:t xml:space="preserve">В этой связи в стратегическом плане </w:t>
      </w:r>
      <w:r>
        <w:rPr>
          <w:b/>
          <w:bCs/>
        </w:rPr>
        <w:t>остаются актуальными</w:t>
      </w:r>
      <w:r>
        <w:t xml:space="preserve"> для реализации </w:t>
      </w:r>
      <w:r>
        <w:rPr>
          <w:b/>
          <w:bCs/>
        </w:rPr>
        <w:t>следующие направления согласованной транспортной политики государств – участников СНГ:</w:t>
      </w:r>
    </w:p>
    <w:p w:rsidR="00DF48C0" w:rsidRDefault="00DF48C0" w:rsidP="00DF48C0">
      <w:pPr>
        <w:pStyle w:val="newncpi"/>
      </w:pPr>
      <w:r>
        <w:t>– обеспечение эффективного развития экономики государств за счет улучшения использования и развития их транспортного потенциала;</w:t>
      </w:r>
    </w:p>
    <w:p w:rsidR="00DF48C0" w:rsidRDefault="00DF48C0" w:rsidP="00DF48C0">
      <w:pPr>
        <w:pStyle w:val="newncpi"/>
      </w:pPr>
      <w:r>
        <w:t>– развитие конкурентной среды на рынке транспортных услуг СНГ;</w:t>
      </w:r>
    </w:p>
    <w:p w:rsidR="00DF48C0" w:rsidRDefault="00DF48C0" w:rsidP="00DF48C0">
      <w:pPr>
        <w:pStyle w:val="newncpi"/>
      </w:pPr>
      <w:r>
        <w:t>– создание условий для экономически выгодного использования и развития сети МТК;</w:t>
      </w:r>
    </w:p>
    <w:p w:rsidR="00DF48C0" w:rsidRDefault="00DF48C0" w:rsidP="00DF48C0">
      <w:pPr>
        <w:pStyle w:val="newncpi"/>
      </w:pPr>
      <w:r>
        <w:t>– повышение эффективности использования транспортной инфраструктуры и инвестиционной привлекательности проектов ее развития;</w:t>
      </w:r>
    </w:p>
    <w:p w:rsidR="00DF48C0" w:rsidRDefault="00DF48C0" w:rsidP="00DF48C0">
      <w:pPr>
        <w:pStyle w:val="newncpi"/>
      </w:pPr>
      <w:r>
        <w:t>– обеспечение интеграции транспортных систем государств – участников СНГ в европейскую и азиатскую транспортные системы;</w:t>
      </w:r>
    </w:p>
    <w:p w:rsidR="00DF48C0" w:rsidRDefault="00DF48C0" w:rsidP="00DF48C0">
      <w:pPr>
        <w:pStyle w:val="newncpi"/>
      </w:pPr>
      <w:r>
        <w:t>– совершенствование системы нормативно-правового обеспечения сотрудничества в области транспорта;</w:t>
      </w:r>
    </w:p>
    <w:p w:rsidR="00DF48C0" w:rsidRDefault="00DF48C0" w:rsidP="00DF48C0">
      <w:pPr>
        <w:pStyle w:val="newncpi"/>
      </w:pPr>
      <w:r>
        <w:t>– дальнейшее развитие согласованной тарифной политики в международном грузовом железнодорожном сообщении;</w:t>
      </w:r>
    </w:p>
    <w:p w:rsidR="00DF48C0" w:rsidRDefault="00DF48C0" w:rsidP="00DF48C0">
      <w:pPr>
        <w:pStyle w:val="newncpi"/>
      </w:pPr>
      <w:r>
        <w:t>– развитие видов транспорта, а также обеспечение их взаимодействия на основе использования новых эффективных транспортно-логистических технологий;</w:t>
      </w:r>
    </w:p>
    <w:p w:rsidR="00DF48C0" w:rsidRDefault="00DF48C0" w:rsidP="00DF48C0">
      <w:pPr>
        <w:pStyle w:val="newncpi"/>
      </w:pPr>
      <w:r>
        <w:t>– развитие кооперации и разработка совместных программ в области транспортного машиностроения;</w:t>
      </w:r>
    </w:p>
    <w:p w:rsidR="00DF48C0" w:rsidRDefault="00DF48C0" w:rsidP="00DF48C0">
      <w:pPr>
        <w:pStyle w:val="newncpi"/>
      </w:pPr>
      <w:r>
        <w:t>– совместное использование и развитие научного и кадрового потенциала в транспортной сфере;</w:t>
      </w:r>
    </w:p>
    <w:p w:rsidR="00DF48C0" w:rsidRDefault="00DF48C0" w:rsidP="00DF48C0">
      <w:pPr>
        <w:pStyle w:val="newncpi"/>
      </w:pPr>
      <w:r>
        <w:t>– согласованное развитие и внедрение современных информационных технологий на транспорте.</w:t>
      </w:r>
    </w:p>
    <w:p w:rsidR="00DF48C0" w:rsidRDefault="00DF48C0" w:rsidP="00DF48C0">
      <w:pPr>
        <w:pStyle w:val="newncpi"/>
        <w:jc w:val="center"/>
      </w:pPr>
      <w:r>
        <w:t>* * *</w:t>
      </w:r>
    </w:p>
    <w:p w:rsidR="00DF48C0" w:rsidRDefault="00DF48C0" w:rsidP="00DF48C0">
      <w:pPr>
        <w:pStyle w:val="newncpi"/>
      </w:pPr>
      <w:r>
        <w:rPr>
          <w:b/>
          <w:bCs/>
        </w:rPr>
        <w:t xml:space="preserve">С учетом положений Концепции дальнейшего развития Содружества Независимых Государств, </w:t>
      </w:r>
      <w:r w:rsidRPr="00AD692F">
        <w:rPr>
          <w:b/>
          <w:bCs/>
        </w:rPr>
        <w:t xml:space="preserve">одобренной </w:t>
      </w:r>
      <w:hyperlink r:id="rId6" w:anchor="reestr/view/text?doc=2298" w:history="1">
        <w:r w:rsidRPr="00AD692F">
          <w:rPr>
            <w:rStyle w:val="a4"/>
            <w:b/>
            <w:bCs/>
            <w:color w:val="auto"/>
            <w:u w:val="none"/>
          </w:rPr>
          <w:t>Решением</w:t>
        </w:r>
      </w:hyperlink>
      <w:r>
        <w:rPr>
          <w:b/>
          <w:bCs/>
        </w:rPr>
        <w:t xml:space="preserve"> Совета глав государств СНГ от 5 октября 2007 года, приоритетными направлениями сотрудничества государств – участников СНГ в сфере транспорта являются:</w:t>
      </w:r>
    </w:p>
    <w:p w:rsidR="00DF48C0" w:rsidRDefault="00DF48C0" w:rsidP="00DF48C0">
      <w:pPr>
        <w:pStyle w:val="newncpi"/>
      </w:pPr>
      <w:r>
        <w:t>– формирование сети МТК на пространстве СНГ;</w:t>
      </w:r>
    </w:p>
    <w:p w:rsidR="00DF48C0" w:rsidRDefault="00DF48C0" w:rsidP="00DF48C0">
      <w:pPr>
        <w:pStyle w:val="newncpi"/>
      </w:pPr>
      <w:r>
        <w:t>– повышение эффективности тарифной политики;</w:t>
      </w:r>
    </w:p>
    <w:p w:rsidR="00DF48C0" w:rsidRDefault="00DF48C0" w:rsidP="00DF48C0">
      <w:pPr>
        <w:pStyle w:val="newncpi"/>
      </w:pPr>
      <w:r>
        <w:t>– разработка концепции стратегического развития железнодорожного транспорта государств – участников СНГ;</w:t>
      </w:r>
    </w:p>
    <w:p w:rsidR="00DF48C0" w:rsidRDefault="00DF48C0" w:rsidP="00DF48C0">
      <w:pPr>
        <w:pStyle w:val="newncpi"/>
      </w:pPr>
      <w:r>
        <w:t>– устранение негативного влияния фискально-административных барьеров при осуществлении международных автомобильных грузовых перевозок;</w:t>
      </w:r>
    </w:p>
    <w:p w:rsidR="00DF48C0" w:rsidRDefault="00DF48C0" w:rsidP="00DF48C0">
      <w:pPr>
        <w:pStyle w:val="newncpi"/>
      </w:pPr>
      <w:r>
        <w:t>– сотрудничество в области организации воздушного движения государств – участников СНГ, создание условий для эффективного развития авиационных перевозок;</w:t>
      </w:r>
    </w:p>
    <w:p w:rsidR="00DF48C0" w:rsidRDefault="00DF48C0" w:rsidP="00DF48C0">
      <w:pPr>
        <w:pStyle w:val="newncpi"/>
      </w:pPr>
      <w:r>
        <w:t>– повышение уровня взаимодействия между различными видами транспорта при осуществлении международных перевозок;</w:t>
      </w:r>
    </w:p>
    <w:p w:rsidR="00DF48C0" w:rsidRDefault="00DF48C0" w:rsidP="00DF48C0">
      <w:pPr>
        <w:pStyle w:val="newncpi"/>
      </w:pPr>
      <w:r>
        <w:t>– совершенствование нормативно-правового обеспечения сотрудничества в области транспорта;</w:t>
      </w:r>
    </w:p>
    <w:p w:rsidR="00DF48C0" w:rsidRDefault="00DF48C0" w:rsidP="00DF48C0">
      <w:pPr>
        <w:pStyle w:val="newncpi"/>
      </w:pPr>
      <w:r>
        <w:t>– формирование согласованной политики в области транспортной безопасности и защиты окружающей среды.</w:t>
      </w:r>
    </w:p>
    <w:p w:rsidR="00DF48C0" w:rsidRDefault="00DF48C0" w:rsidP="00DF48C0">
      <w:pPr>
        <w:pStyle w:val="newncpi"/>
      </w:pPr>
      <w:r>
        <w:t>Реализация указанных приоритетных направлений предусматривает конкретизацию направлений сотрудничества в каждом из видов транспорта и преемственность в использовании сложившихся отраслевых межгосударственных связей, что создает условия для повышения результативности при решении задачи формирования рынка транспортных услуг СНГ.</w:t>
      </w:r>
    </w:p>
    <w:p w:rsidR="00DF48C0" w:rsidRDefault="00DF48C0" w:rsidP="00DF48C0">
      <w:pPr>
        <w:pStyle w:val="newncpi"/>
      </w:pPr>
      <w:r>
        <w:t>Мероприятия, планируемые и реализуемые в рамках решения каждой задачи, учитывают их взаимосвязь и базируются на принятии в установленном порядке двух- и многосторонних международных правовых актов, межгосударственных программ и проектов, а также рекомендаций для правительств государств – участников СНГ или субъектов хозяйственной деятельности в транспортной сфере.</w:t>
      </w:r>
    </w:p>
    <w:p w:rsidR="00DF48C0" w:rsidRDefault="00DF48C0" w:rsidP="00DF48C0">
      <w:pPr>
        <w:pStyle w:val="point"/>
        <w:spacing w:before="120"/>
        <w:outlineLvl w:val="0"/>
      </w:pPr>
      <w:r>
        <w:rPr>
          <w:b/>
          <w:bCs/>
        </w:rPr>
        <w:t>1. Формирование сети международных транспортных коридоров на пространстве СНГ</w:t>
      </w:r>
    </w:p>
    <w:p w:rsidR="00DF48C0" w:rsidRDefault="00DF48C0" w:rsidP="00DF48C0">
      <w:pPr>
        <w:pStyle w:val="newncpi"/>
      </w:pPr>
      <w:r>
        <w:lastRenderedPageBreak/>
        <w:t>Цель формирования и развития МТК, проходящих по территории государств – участников СНГ, состоит в повышении эффективности внешнеторговых, в том числе транзитных, перевозок с обеспечением гарантии их осуществления на основе международных соглашений и договоренностей и в развитии транспортной инфраструктуры, имеющей согласованные технические параметры и технологии перевозок.</w:t>
      </w:r>
    </w:p>
    <w:p w:rsidR="00DF48C0" w:rsidRDefault="00DF48C0" w:rsidP="00DF48C0">
      <w:pPr>
        <w:pStyle w:val="newncpi"/>
        <w:rPr>
          <w:i/>
        </w:rPr>
      </w:pPr>
      <w:r>
        <w:rPr>
          <w:i/>
        </w:rPr>
        <w:t>В качестве основных задач в этой области целесообразно рассматривать:</w:t>
      </w:r>
    </w:p>
    <w:p w:rsidR="00DF48C0" w:rsidRDefault="00DF48C0" w:rsidP="00DF48C0">
      <w:pPr>
        <w:pStyle w:val="newncpi"/>
      </w:pPr>
      <w:r>
        <w:t>– разработку и реализацию комплекса мер по согласованному и сбалансированному развитию участков сложившейся системы МТК на территории государств – участников СНГ;</w:t>
      </w:r>
    </w:p>
    <w:p w:rsidR="00DF48C0" w:rsidRDefault="00DF48C0" w:rsidP="00DF48C0">
      <w:pPr>
        <w:pStyle w:val="newncpi"/>
      </w:pPr>
      <w:r>
        <w:t>– формирование новых транзитных транспортных магистралей континентального значения, тран</w:t>
      </w:r>
      <w:proofErr w:type="gramStart"/>
      <w:r>
        <w:t>с-</w:t>
      </w:r>
      <w:proofErr w:type="gramEnd"/>
      <w:r>
        <w:t xml:space="preserve"> и евроазиатских транспортных коридоров;</w:t>
      </w:r>
    </w:p>
    <w:p w:rsidR="00DF48C0" w:rsidRDefault="00DF48C0" w:rsidP="00DF48C0">
      <w:pPr>
        <w:pStyle w:val="newncpi"/>
      </w:pPr>
      <w:r>
        <w:t>– подготовку проекта межправительственного соглашения о согласованном развитии МТК на пространстве СНГ;</w:t>
      </w:r>
    </w:p>
    <w:p w:rsidR="00DF48C0" w:rsidRDefault="00DF48C0" w:rsidP="00DF48C0">
      <w:pPr>
        <w:pStyle w:val="newncpi"/>
      </w:pPr>
      <w:r>
        <w:t>– разработку предложений о взаимном доступе на рынки транспортных услуг на внутренних водных путях;</w:t>
      </w:r>
    </w:p>
    <w:p w:rsidR="00DF48C0" w:rsidRDefault="00DF48C0" w:rsidP="00DF48C0">
      <w:pPr>
        <w:pStyle w:val="newncpi"/>
      </w:pPr>
      <w:r>
        <w:t>– разработку и внедрение механизмов совместного (внутр</w:t>
      </w:r>
      <w:proofErr w:type="gramStart"/>
      <w:r>
        <w:t>и-</w:t>
      </w:r>
      <w:proofErr w:type="gramEnd"/>
      <w:r>
        <w:t xml:space="preserve"> и </w:t>
      </w:r>
      <w:proofErr w:type="spellStart"/>
      <w:r>
        <w:t>внерегионального</w:t>
      </w:r>
      <w:proofErr w:type="spellEnd"/>
      <w:r>
        <w:t>) инвестирования в развитие узловых объектов инфраструктуры МТК, проходящих по территории государств – участников СНГ, которые предусматривают их модернизацию, техническое оснащение, а также строительство основных и вспомогательных элементов инфраструктуры;</w:t>
      </w:r>
    </w:p>
    <w:p w:rsidR="00DF48C0" w:rsidRDefault="00DF48C0" w:rsidP="00DF48C0">
      <w:pPr>
        <w:pStyle w:val="newncpi"/>
      </w:pPr>
      <w:r>
        <w:t>– проведение мероприятий по совершенствованию перевозок грузов по МТК, повышению эффективности использования транспортной инфраструктуры и инвестиционной привлекательности транспортных проектов;</w:t>
      </w:r>
    </w:p>
    <w:p w:rsidR="00DF48C0" w:rsidRDefault="00DF48C0" w:rsidP="00DF48C0">
      <w:pPr>
        <w:pStyle w:val="newncpi"/>
      </w:pPr>
      <w:r>
        <w:t>– создание в государствах – участниках СНГ (в соответствии с предложениями государств) транспортно-логистических консолидирующих центров на участках МТК;</w:t>
      </w:r>
    </w:p>
    <w:p w:rsidR="00DF48C0" w:rsidRDefault="00DF48C0" w:rsidP="00DF48C0">
      <w:pPr>
        <w:pStyle w:val="newncpi"/>
      </w:pPr>
      <w:r>
        <w:t>– разработку и реализацию комплекса мер по созданию общей системы технологического, таможенного, информационно-логистического и сервисного обеспечения перевозок грузов на участках МТК;</w:t>
      </w:r>
    </w:p>
    <w:p w:rsidR="00DF48C0" w:rsidRDefault="00DF48C0" w:rsidP="00DF48C0">
      <w:pPr>
        <w:pStyle w:val="newncpi"/>
      </w:pPr>
      <w:r>
        <w:t>– создание координирующего органа по разработке предложений по комплексному развитию МТК на пространстве СНГ.</w:t>
      </w:r>
    </w:p>
    <w:p w:rsidR="00DF48C0" w:rsidRDefault="00DF48C0" w:rsidP="00DF48C0">
      <w:pPr>
        <w:pStyle w:val="point"/>
        <w:spacing w:before="120"/>
        <w:outlineLvl w:val="0"/>
      </w:pPr>
      <w:r>
        <w:rPr>
          <w:b/>
          <w:bCs/>
        </w:rPr>
        <w:t>2. Повышение эффективности тарифной политики</w:t>
      </w:r>
    </w:p>
    <w:p w:rsidR="00DF48C0" w:rsidRDefault="00DF48C0" w:rsidP="00DF48C0">
      <w:pPr>
        <w:pStyle w:val="newncpi"/>
        <w:rPr>
          <w:i/>
        </w:rPr>
      </w:pPr>
      <w:r>
        <w:t xml:space="preserve">В целях выработки согласованной политики в области транспортных тарифов в международном сообщении с государствами – участниками СНГ </w:t>
      </w:r>
      <w:r>
        <w:rPr>
          <w:i/>
        </w:rPr>
        <w:t>предполагается решение следующих основных задач:</w:t>
      </w:r>
    </w:p>
    <w:p w:rsidR="00DF48C0" w:rsidRDefault="00DF48C0" w:rsidP="00DF48C0">
      <w:pPr>
        <w:pStyle w:val="newncpi"/>
      </w:pPr>
      <w:r>
        <w:t>– создание условий для равноправной конкуренции видов транспорта;</w:t>
      </w:r>
    </w:p>
    <w:p w:rsidR="00DF48C0" w:rsidRDefault="00DF48C0" w:rsidP="00DF48C0">
      <w:pPr>
        <w:pStyle w:val="newncpi"/>
      </w:pPr>
      <w:r>
        <w:t>– разработка комплекса мер по регулированию согласованной тарифной политики;</w:t>
      </w:r>
    </w:p>
    <w:p w:rsidR="00DF48C0" w:rsidRDefault="00DF48C0" w:rsidP="00DF48C0">
      <w:pPr>
        <w:pStyle w:val="newncpi"/>
      </w:pPr>
      <w:r>
        <w:t>– формирование нормативно-правовой базы, регулирующей принципы ценообразования на услуги транспорта в международном сообщении между государствами – участниками СНГ;</w:t>
      </w:r>
    </w:p>
    <w:p w:rsidR="00DF48C0" w:rsidRDefault="00DF48C0" w:rsidP="00DF48C0">
      <w:pPr>
        <w:pStyle w:val="newncpi"/>
      </w:pPr>
      <w:r>
        <w:t>– выделение тарифных коридоров для транспортировки отдельных грузов;</w:t>
      </w:r>
    </w:p>
    <w:p w:rsidR="00DF48C0" w:rsidRDefault="00DF48C0" w:rsidP="00DF48C0">
      <w:pPr>
        <w:pStyle w:val="newncpi"/>
      </w:pPr>
      <w:r>
        <w:t xml:space="preserve">– более широкое применение сквозных тарифных ставок при осуществлении комбинированных и </w:t>
      </w:r>
      <w:proofErr w:type="spellStart"/>
      <w:r>
        <w:t>мультимодальных</w:t>
      </w:r>
      <w:proofErr w:type="spellEnd"/>
      <w:r>
        <w:t xml:space="preserve"> перевозок грузов в международном сообщении.</w:t>
      </w:r>
    </w:p>
    <w:p w:rsidR="00DF48C0" w:rsidRDefault="00DF48C0" w:rsidP="00DF48C0">
      <w:pPr>
        <w:pStyle w:val="newncpi"/>
      </w:pPr>
      <w:proofErr w:type="gramStart"/>
      <w:r>
        <w:t xml:space="preserve">Формирование тарифной политики на железных дорогах государств – участников СНГ в международном сообщении на перспективу базируется на положениях Концепции установления согласованной тарифной политики на железнодорожном транспорте государств – участников СНГ, </w:t>
      </w:r>
      <w:r w:rsidRPr="00AD692F">
        <w:t xml:space="preserve">утвержденной </w:t>
      </w:r>
      <w:hyperlink r:id="rId7" w:anchor="reestr/view/text?doc=648" w:history="1">
        <w:r w:rsidRPr="00AD692F">
          <w:rPr>
            <w:rStyle w:val="a4"/>
            <w:color w:val="auto"/>
            <w:u w:val="none"/>
          </w:rPr>
          <w:t>Решением</w:t>
        </w:r>
      </w:hyperlink>
      <w:r w:rsidRPr="00AD692F">
        <w:t xml:space="preserve"> Совета</w:t>
      </w:r>
      <w:r>
        <w:t xml:space="preserve"> глав правительств СНГ от 18 октября 1996 года, в которой определены основные принципы формирования и установления тарифных ставок при перевозках грузов в международном сообщении, а также Тарифной политики железных</w:t>
      </w:r>
      <w:proofErr w:type="gramEnd"/>
      <w:r>
        <w:t xml:space="preserve"> дорог государств – участников Содружества.</w:t>
      </w:r>
    </w:p>
    <w:p w:rsidR="00DF48C0" w:rsidRDefault="00DF48C0" w:rsidP="00DF48C0">
      <w:pPr>
        <w:pStyle w:val="point"/>
        <w:spacing w:before="120"/>
        <w:outlineLvl w:val="0"/>
      </w:pPr>
      <w:r>
        <w:rPr>
          <w:b/>
          <w:bCs/>
        </w:rPr>
        <w:t>3. Разработка концепции стратегического развития железнодорожного транспорта государств – участников СНГ</w:t>
      </w:r>
    </w:p>
    <w:p w:rsidR="00DF48C0" w:rsidRDefault="00DF48C0" w:rsidP="00DF48C0">
      <w:pPr>
        <w:pStyle w:val="newncpi"/>
        <w:rPr>
          <w:i/>
        </w:rPr>
      </w:pPr>
      <w:r>
        <w:t xml:space="preserve">В целях разработки концепции стратегического развития железнодорожного транспорта государств – участников СНГ </w:t>
      </w:r>
      <w:r>
        <w:rPr>
          <w:i/>
        </w:rPr>
        <w:t>предполагается решение следующих основных задач:</w:t>
      </w:r>
    </w:p>
    <w:p w:rsidR="00DF48C0" w:rsidRDefault="00DF48C0" w:rsidP="00DF48C0">
      <w:pPr>
        <w:pStyle w:val="newncpi"/>
      </w:pPr>
      <w:r>
        <w:lastRenderedPageBreak/>
        <w:t>– продолжение работы по актуализации «Схемы транспортных сообщений на период до 2020 года» с учетом формируемых международных транспортных систем в части железнодорожного транспорта;</w:t>
      </w:r>
    </w:p>
    <w:p w:rsidR="00DF48C0" w:rsidRDefault="00DF48C0" w:rsidP="00DF48C0">
      <w:pPr>
        <w:pStyle w:val="newncpi"/>
      </w:pPr>
      <w:r>
        <w:t>– изучение возможности создания скоростного пассажирского сообщения между государствами – участниками СНГ и странами ЕС;</w:t>
      </w:r>
    </w:p>
    <w:p w:rsidR="00DF48C0" w:rsidRDefault="00DF48C0" w:rsidP="00DF48C0">
      <w:pPr>
        <w:pStyle w:val="newncpi"/>
      </w:pPr>
      <w:r>
        <w:t>– совершенствование системы управления перевозочным процессом с учетом экономических критериев;</w:t>
      </w:r>
    </w:p>
    <w:p w:rsidR="00DF48C0" w:rsidRDefault="00DF48C0" w:rsidP="00DF48C0">
      <w:pPr>
        <w:pStyle w:val="newncpi"/>
      </w:pPr>
      <w:r>
        <w:t>– формирование согласованной политики в области транспортной безопасности, безопасности движения и защиты окружающей среды;</w:t>
      </w:r>
    </w:p>
    <w:p w:rsidR="00DF48C0" w:rsidRDefault="00DF48C0" w:rsidP="00DF48C0">
      <w:pPr>
        <w:pStyle w:val="newncpi"/>
      </w:pPr>
      <w:r>
        <w:t>– определение общих потребностей в подвижном составе и путевой технике государств – участников СНГ, а также совместное привлечение потенциальных инвесторов в целях формирования оптимального заказа и эффективной загрузки мощностей транспортного машиностроения;</w:t>
      </w:r>
    </w:p>
    <w:p w:rsidR="00DF48C0" w:rsidRDefault="00DF48C0" w:rsidP="00DF48C0">
      <w:pPr>
        <w:pStyle w:val="newncpi"/>
      </w:pPr>
      <w:r>
        <w:t>– обеспечение кооперации в области разработки, производства и внедрения технических средств (в том числе подвижного состава) нового поколения с высокими эксплуатационными и экономическими характеристиками в соответствии с международными стандартами обслуживания и ремонта;</w:t>
      </w:r>
    </w:p>
    <w:p w:rsidR="00DF48C0" w:rsidRDefault="00DF48C0" w:rsidP="00DF48C0">
      <w:pPr>
        <w:pStyle w:val="newncpi"/>
      </w:pPr>
      <w:r>
        <w:t>– развитие транспортно-экспедиторской деятельности и логистики;</w:t>
      </w:r>
    </w:p>
    <w:p w:rsidR="00DF48C0" w:rsidRDefault="00DF48C0" w:rsidP="00DF48C0">
      <w:pPr>
        <w:pStyle w:val="newncpi"/>
      </w:pPr>
      <w:r>
        <w:t xml:space="preserve">– формирование рынка транспортных и экспедиторских услуг на пространстве железных дорог колеи </w:t>
      </w:r>
      <w:smartTag w:uri="urn:schemas-microsoft-com:office:smarttags" w:element="metricconverter">
        <w:smartTagPr>
          <w:attr w:name="ProductID" w:val="1520 мм"/>
          <w:attr w:name="tabIndex" w:val="0"/>
          <w:attr w:name="style" w:val="BACKGROUND-POSITION: left&#10; bottom; BACKGROUND-IMAGE: url(res://ietag.dll/#34/#1001); BACKGROUND-REPEAT: repeat-x"/>
        </w:smartTagPr>
        <w:r>
          <w:t>1520 мм</w:t>
        </w:r>
      </w:smartTag>
      <w:r>
        <w:t>;</w:t>
      </w:r>
    </w:p>
    <w:p w:rsidR="00DF48C0" w:rsidRDefault="00DF48C0" w:rsidP="00DF48C0">
      <w:pPr>
        <w:pStyle w:val="newncpi"/>
      </w:pPr>
      <w:r>
        <w:t>– осуществление сбалансированного развития логистической инфраструктуры, в том числе выработка предложений по созданию логистических центров;</w:t>
      </w:r>
    </w:p>
    <w:p w:rsidR="00DF48C0" w:rsidRDefault="00DF48C0" w:rsidP="00DF48C0">
      <w:pPr>
        <w:pStyle w:val="newncpi"/>
      </w:pPr>
      <w:r>
        <w:t>– формирование информационного обеспечения на основе повышения оперативности взаимодействия путем внедрения новейших информационно-телекоммуникационных технологий, электронного документооборота, систем электронного слежения за продвижением грузов государств – участников СНГ;</w:t>
      </w:r>
    </w:p>
    <w:p w:rsidR="00DF48C0" w:rsidRDefault="00DF48C0" w:rsidP="00DF48C0">
      <w:pPr>
        <w:pStyle w:val="newncpi"/>
      </w:pPr>
      <w:r>
        <w:t>– содействие в ускорении процедур пересечения границы на основе укрепления взаимодействия с таможенными и пограничными органами в целях создания условий для ускорения пропуска пассажирских и грузовых поездов, упрощения контрольных операций при пересечении государственных границ;</w:t>
      </w:r>
    </w:p>
    <w:p w:rsidR="00DF48C0" w:rsidRDefault="00DF48C0" w:rsidP="00DF48C0">
      <w:pPr>
        <w:pStyle w:val="newncpi"/>
      </w:pPr>
      <w:r>
        <w:t>– развитие межгосударственных пограничных переходов (межгосударственных стыковых пунктов);</w:t>
      </w:r>
    </w:p>
    <w:p w:rsidR="00DF48C0" w:rsidRDefault="00DF48C0" w:rsidP="00DF48C0">
      <w:pPr>
        <w:pStyle w:val="newncpi"/>
      </w:pPr>
      <w:r>
        <w:t>– подготовка предложений по развитию межгосударственных пограничных переходов (межгосударственных стыковых пунктов), повышению технической оснащенности и совершенствованию технологии их работы;</w:t>
      </w:r>
    </w:p>
    <w:p w:rsidR="00DF48C0" w:rsidRDefault="00DF48C0" w:rsidP="00DF48C0">
      <w:pPr>
        <w:pStyle w:val="newncpi"/>
      </w:pPr>
      <w:r>
        <w:t>– продолжение работы по оптимизации и повышению эффективности взаимного использования вагонов железнодорожными администрациями, обеспечивающей взаимовыгодное сотрудничество и рост доходов железных дорог при перевозках грузов в международном сообщении;</w:t>
      </w:r>
    </w:p>
    <w:p w:rsidR="00DF48C0" w:rsidRDefault="00DF48C0" w:rsidP="00DF48C0">
      <w:pPr>
        <w:pStyle w:val="newncpi"/>
      </w:pPr>
      <w:r>
        <w:t>– формирование эффективных механизмов привлечения инвестиционных ресурсов с мировых финансовых рынков и содействие в развитии механизмов государственно-частного партнерства при реализации инвестиционных программ государств – участников СНГ в части железнодорожного транспорта;</w:t>
      </w:r>
    </w:p>
    <w:p w:rsidR="00DF48C0" w:rsidRDefault="00DF48C0" w:rsidP="00DF48C0">
      <w:pPr>
        <w:pStyle w:val="newncpi"/>
      </w:pPr>
      <w:r>
        <w:t>– повышение уровня и сохранение единых стандартов железнодорожного образования, организация профессионального обмена знаниями и повышения квалификации специалистов железнодорожного транспорта, обеспечение преемственности накопленного отраслевого опыта и его преумножение.</w:t>
      </w:r>
    </w:p>
    <w:p w:rsidR="00DF48C0" w:rsidRDefault="00DF48C0" w:rsidP="00DF48C0">
      <w:pPr>
        <w:pStyle w:val="point"/>
        <w:spacing w:before="120"/>
        <w:outlineLvl w:val="0"/>
      </w:pPr>
      <w:r>
        <w:rPr>
          <w:b/>
          <w:bCs/>
        </w:rPr>
        <w:t>4. Устранение негативного влияния фискально-административных барьеров при осуществлении международных автомобильных грузовых перевозок</w:t>
      </w:r>
    </w:p>
    <w:p w:rsidR="00DF48C0" w:rsidRDefault="00DF48C0" w:rsidP="00DF48C0">
      <w:pPr>
        <w:pStyle w:val="newncpi"/>
      </w:pPr>
      <w:r>
        <w:t>Сотрудничество в данной сфере направлено на создание равных и благоприятных условий для осуществления международных автомобильных перевозок, торговли автотранспортными услугами на транспортном пространстве СНГ и динамичной интеграции автомобильного транспорта СНГ в мировой рынок транспортных услуг, на наращивание объемов перевозок, модернизацию инфраструктуры и повышение пропускной способности автодорог, рост транзита.</w:t>
      </w:r>
    </w:p>
    <w:p w:rsidR="00DF48C0" w:rsidRDefault="00DF48C0" w:rsidP="00DF48C0">
      <w:pPr>
        <w:pStyle w:val="newncpi"/>
        <w:rPr>
          <w:i/>
        </w:rPr>
      </w:pPr>
      <w:r>
        <w:rPr>
          <w:i/>
        </w:rPr>
        <w:t>В качестве основных задач в этой области целесообразно рассматривать:</w:t>
      </w:r>
    </w:p>
    <w:p w:rsidR="00DF48C0" w:rsidRDefault="00DF48C0" w:rsidP="00DF48C0">
      <w:pPr>
        <w:pStyle w:val="newncpi"/>
      </w:pPr>
      <w:r>
        <w:lastRenderedPageBreak/>
        <w:t>– создание условий для устранения различных барьеров при осуществлении международных автоперевозок в государствах – участниках СНГ;</w:t>
      </w:r>
    </w:p>
    <w:p w:rsidR="00DF48C0" w:rsidRDefault="00DF48C0" w:rsidP="00DF48C0">
      <w:pPr>
        <w:pStyle w:val="newncpi"/>
      </w:pPr>
      <w:r>
        <w:t>– разработку и внедрение согласованных трансграничных технологий в целях сокращения простоев автотранспортных средств на межгосударственных пограничных переходах (межгосударственных стыковых пунктах);</w:t>
      </w:r>
    </w:p>
    <w:p w:rsidR="00DF48C0" w:rsidRDefault="00DF48C0" w:rsidP="00DF48C0">
      <w:pPr>
        <w:pStyle w:val="newncpi"/>
      </w:pPr>
      <w:r>
        <w:t>– создание согласованной системы взимания дорожных и других сборов, транзитных налогов на территории государств – участников СНГ;</w:t>
      </w:r>
    </w:p>
    <w:p w:rsidR="00DF48C0" w:rsidRDefault="00DF48C0" w:rsidP="00DF48C0">
      <w:pPr>
        <w:pStyle w:val="newncpi"/>
      </w:pPr>
      <w:r>
        <w:t>– разработку мер по унификации предельных весовых параметров (нагрузок) дорожной сети, используемой для международных автомобильных перевозок в государствах – участниках СНГ, с параметрами, применяемыми в странах ЕС;</w:t>
      </w:r>
    </w:p>
    <w:p w:rsidR="00DF48C0" w:rsidRDefault="00DF48C0" w:rsidP="00DF48C0">
      <w:pPr>
        <w:pStyle w:val="newncpi"/>
      </w:pPr>
      <w:r>
        <w:t>– создание эффективной системы межгосударственного управления, регулирования и контроля рынка международных автотранспортных услуг, обеспечивающей справедливую конкуренцию и экономические условия для расширенного воспроизводства услуг, а также проведение антидемпинговой политики на этом рынке;</w:t>
      </w:r>
    </w:p>
    <w:p w:rsidR="00DF48C0" w:rsidRDefault="00DF48C0" w:rsidP="00DF48C0">
      <w:pPr>
        <w:pStyle w:val="newncpi"/>
      </w:pPr>
      <w:r>
        <w:t>– гармонизацию правил перевозки опасных грузов между государствами – участниками СНГ в соответствии с требованиями Европейского соглашения о международной дорожной перевозке опасных грузов от 30 сентября 1957 года.</w:t>
      </w:r>
    </w:p>
    <w:p w:rsidR="00DF48C0" w:rsidRDefault="00DF48C0" w:rsidP="00DF48C0">
      <w:pPr>
        <w:pStyle w:val="newncpi"/>
      </w:pPr>
      <w:r>
        <w:t xml:space="preserve">В качестве </w:t>
      </w:r>
      <w:r>
        <w:rPr>
          <w:i/>
          <w:iCs/>
        </w:rPr>
        <w:t>первоочередных мероприятий</w:t>
      </w:r>
      <w:r>
        <w:t xml:space="preserve"> предполагаются:</w:t>
      </w:r>
    </w:p>
    <w:p w:rsidR="00DF48C0" w:rsidRDefault="00DF48C0" w:rsidP="00DF48C0">
      <w:pPr>
        <w:pStyle w:val="newncpi"/>
      </w:pPr>
      <w:r>
        <w:t>– согласование основных направлений развития рынка международных автотранспортных услуг государств – участников СНГ;</w:t>
      </w:r>
    </w:p>
    <w:p w:rsidR="00DF48C0" w:rsidRDefault="00DF48C0" w:rsidP="00DF48C0">
      <w:pPr>
        <w:pStyle w:val="newncpi"/>
      </w:pPr>
      <w:r>
        <w:t>– мониторинг барьеров (приграничные, технические, фискальные и бюрократические) при осуществлении международных автомобильных перевозок по территории государств – участников СНГ;</w:t>
      </w:r>
    </w:p>
    <w:p w:rsidR="00DF48C0" w:rsidRDefault="00DF48C0" w:rsidP="00DF48C0">
      <w:pPr>
        <w:pStyle w:val="newncpi"/>
      </w:pPr>
      <w:r>
        <w:t>– гармонизация требований к дополнительному обучению и профессиональной компетентности международных автомобильных перевозчиков государств – участников СНГ;</w:t>
      </w:r>
    </w:p>
    <w:p w:rsidR="00DF48C0" w:rsidRDefault="00DF48C0" w:rsidP="00DF48C0">
      <w:pPr>
        <w:pStyle w:val="newncpi"/>
      </w:pPr>
      <w:r>
        <w:t>– разработка согласованных предложений по улучшению состояния транспортной инфраструктуры автомобильных дорог СНГ;</w:t>
      </w:r>
    </w:p>
    <w:p w:rsidR="00DF48C0" w:rsidRDefault="00DF48C0" w:rsidP="00DF48C0">
      <w:pPr>
        <w:pStyle w:val="newncpi"/>
      </w:pPr>
      <w:r>
        <w:t xml:space="preserve">– разработка и реализация нормативных правовых актов по организации международных автомобильных перевозок по территории государств – участников СНГ в целях максимальной либерализации рынка международных автомобильных перевозок и стремления к организации перевозок на </w:t>
      </w:r>
      <w:proofErr w:type="spellStart"/>
      <w:r>
        <w:t>безразрешительной</w:t>
      </w:r>
      <w:proofErr w:type="spellEnd"/>
      <w:r>
        <w:t xml:space="preserve"> основе.</w:t>
      </w:r>
    </w:p>
    <w:p w:rsidR="00DF48C0" w:rsidRDefault="00DF48C0" w:rsidP="00DF48C0">
      <w:pPr>
        <w:pStyle w:val="point"/>
        <w:spacing w:before="120"/>
        <w:outlineLvl w:val="0"/>
      </w:pPr>
      <w:r>
        <w:rPr>
          <w:b/>
          <w:bCs/>
        </w:rPr>
        <w:t>5. Организация воздушного движения в государствах – участниках СНГ. Создание условий для эффективного развития авиационных перевозок</w:t>
      </w:r>
    </w:p>
    <w:p w:rsidR="00DF48C0" w:rsidRDefault="00DF48C0" w:rsidP="00DF48C0">
      <w:pPr>
        <w:pStyle w:val="underpoint"/>
        <w:spacing w:before="120"/>
        <w:outlineLvl w:val="0"/>
      </w:pPr>
      <w:r>
        <w:rPr>
          <w:b/>
          <w:bCs/>
        </w:rPr>
        <w:t>5.1. Сотрудничество в области организации воздушного движения государств – участников СНГ</w:t>
      </w:r>
    </w:p>
    <w:p w:rsidR="00DF48C0" w:rsidRDefault="00DF48C0" w:rsidP="00DF48C0">
      <w:pPr>
        <w:pStyle w:val="newncpi"/>
      </w:pPr>
      <w:r>
        <w:t xml:space="preserve">Сотрудничество в данной сфере направлено на рациональное развитие воздушного пространства и систем организации воздушного движения с учетом </w:t>
      </w:r>
      <w:proofErr w:type="gramStart"/>
      <w:r>
        <w:t>реализации Концепции гармонизации национальных систем организации воздушного движения</w:t>
      </w:r>
      <w:proofErr w:type="gramEnd"/>
      <w:r>
        <w:t xml:space="preserve"> государств – участников СНГ, </w:t>
      </w:r>
      <w:r w:rsidRPr="00AD692F">
        <w:t xml:space="preserve">утвержденной </w:t>
      </w:r>
      <w:hyperlink r:id="rId8" w:anchor="reestr/view/text?doc=1467" w:history="1">
        <w:r w:rsidRPr="00AD692F">
          <w:rPr>
            <w:rStyle w:val="a4"/>
            <w:color w:val="auto"/>
            <w:u w:val="none"/>
          </w:rPr>
          <w:t>Решением</w:t>
        </w:r>
      </w:hyperlink>
      <w:r>
        <w:t xml:space="preserve"> Совета глав государств СНГ от 19 сентября 2003 года, и на интеграцию в европейскую и мировую аэронавигационные системы.</w:t>
      </w:r>
    </w:p>
    <w:p w:rsidR="00DF48C0" w:rsidRDefault="00DF48C0" w:rsidP="00DF48C0">
      <w:pPr>
        <w:pStyle w:val="newncpi"/>
        <w:rPr>
          <w:i/>
        </w:rPr>
      </w:pPr>
      <w:r>
        <w:rPr>
          <w:i/>
        </w:rPr>
        <w:t>В качестве основных задач в данной сфере следует рассматривать:</w:t>
      </w:r>
    </w:p>
    <w:p w:rsidR="00DF48C0" w:rsidRDefault="00DF48C0" w:rsidP="00DF48C0">
      <w:pPr>
        <w:pStyle w:val="newncpi"/>
      </w:pPr>
      <w:r>
        <w:t>– разработку и реализацию согласованных перспективных национальных планов и программ развития систем организации воздушного движения в соответствии с Рекомендациями ИКАО по поэтапному переходу к региональным аэронавигационным системам;</w:t>
      </w:r>
    </w:p>
    <w:p w:rsidR="00DF48C0" w:rsidRDefault="00DF48C0" w:rsidP="00DF48C0">
      <w:pPr>
        <w:pStyle w:val="newncpi"/>
      </w:pPr>
      <w:r>
        <w:t>– взаимодействие национальных организаций по аэронавигационному обслуживанию, в том числе в рамках Координационного Совета «Евразия»;</w:t>
      </w:r>
    </w:p>
    <w:p w:rsidR="00DF48C0" w:rsidRDefault="00DF48C0" w:rsidP="00DF48C0">
      <w:pPr>
        <w:pStyle w:val="newncpi"/>
      </w:pPr>
      <w:r>
        <w:t>– координацию процессов планирования потоков воздушного движения и управления воздушным движением и проведения мероприятий, направленных на повышение пропускной способности международных воздушных трасс государств – участников СНГ;</w:t>
      </w:r>
    </w:p>
    <w:p w:rsidR="00DF48C0" w:rsidRDefault="00DF48C0" w:rsidP="00DF48C0">
      <w:pPr>
        <w:pStyle w:val="newncpi"/>
      </w:pPr>
      <w:r>
        <w:t>– гармонизацию требований, предъявляемых национальными системами организации воздушного движения к бортовому оборудованию воздушных судов;</w:t>
      </w:r>
    </w:p>
    <w:p w:rsidR="00DF48C0" w:rsidRDefault="00DF48C0" w:rsidP="00DF48C0">
      <w:pPr>
        <w:pStyle w:val="newncpi"/>
      </w:pPr>
      <w:r>
        <w:lastRenderedPageBreak/>
        <w:t>– экономически выгодное совместное использование национальных радиотехнических систем;</w:t>
      </w:r>
    </w:p>
    <w:p w:rsidR="00DF48C0" w:rsidRDefault="00DF48C0" w:rsidP="00DF48C0">
      <w:pPr>
        <w:pStyle w:val="newncpi"/>
      </w:pPr>
      <w:r>
        <w:t>– гармонизацию программ и практики подготовки и повышения квалификации авиационных специалистов в области обеспечения аэронавигации;</w:t>
      </w:r>
    </w:p>
    <w:p w:rsidR="00DF48C0" w:rsidRDefault="00DF48C0" w:rsidP="00DF48C0">
      <w:pPr>
        <w:pStyle w:val="newncpi"/>
      </w:pPr>
      <w:r>
        <w:t xml:space="preserve">– унификацию </w:t>
      </w:r>
      <w:proofErr w:type="gramStart"/>
      <w:r>
        <w:t>протоколов взаимодействия национальных систем аэронавигационного обслуживания пользователей воздушного пространства</w:t>
      </w:r>
      <w:proofErr w:type="gramEnd"/>
      <w:r>
        <w:t>;</w:t>
      </w:r>
    </w:p>
    <w:p w:rsidR="00DF48C0" w:rsidRDefault="00DF48C0" w:rsidP="00DF48C0">
      <w:pPr>
        <w:pStyle w:val="newncpi"/>
      </w:pPr>
      <w:r>
        <w:t>– унификацию требований к техническим характеристикам средств наземного радиотехнического обеспечения полетов;</w:t>
      </w:r>
    </w:p>
    <w:p w:rsidR="00DF48C0" w:rsidRDefault="00DF48C0" w:rsidP="00DF48C0">
      <w:pPr>
        <w:pStyle w:val="newncpi"/>
      </w:pPr>
      <w:r>
        <w:t>– разработку совместных проектов по внедрению новой техники, технологий и методов обслуживания воздушного движения.</w:t>
      </w:r>
    </w:p>
    <w:p w:rsidR="00DF48C0" w:rsidRDefault="00DF48C0" w:rsidP="00DF48C0">
      <w:pPr>
        <w:pStyle w:val="underpoint"/>
        <w:spacing w:before="120"/>
        <w:outlineLvl w:val="0"/>
      </w:pPr>
      <w:r>
        <w:rPr>
          <w:b/>
          <w:bCs/>
        </w:rPr>
        <w:t>5.2. Создание условий для эффективного развития авиационных перевозок</w:t>
      </w:r>
    </w:p>
    <w:p w:rsidR="00DF48C0" w:rsidRDefault="00DF48C0" w:rsidP="00DF48C0">
      <w:pPr>
        <w:pStyle w:val="newncpi"/>
      </w:pPr>
      <w:r>
        <w:t>С учетом Основных направлений развития гражданской авиации и мер по повышению безопасности полетов государств – участников СНГ, одобренных</w:t>
      </w:r>
      <w:r w:rsidRPr="00AD692F">
        <w:t xml:space="preserve"> </w:t>
      </w:r>
      <w:hyperlink r:id="rId9" w:anchor="reestr/view/text?doc=2339" w:history="1">
        <w:r w:rsidRPr="00AD692F">
          <w:rPr>
            <w:rStyle w:val="a4"/>
            <w:color w:val="auto"/>
            <w:u w:val="none"/>
          </w:rPr>
          <w:t>Решением</w:t>
        </w:r>
      </w:hyperlink>
      <w:r>
        <w:t xml:space="preserve"> Совета глав правительств СНГ от 22 ноября 2007 года, сотрудничество в сфере безопасных, эффективных и конкурентоспособных авиационных перевозок является стратегическим приоритетом.</w:t>
      </w:r>
    </w:p>
    <w:p w:rsidR="00DF48C0" w:rsidRDefault="00DF48C0" w:rsidP="00DF48C0">
      <w:pPr>
        <w:pStyle w:val="newncpi"/>
        <w:rPr>
          <w:i/>
        </w:rPr>
      </w:pPr>
      <w:r>
        <w:rPr>
          <w:i/>
        </w:rPr>
        <w:t>В качестве основных задач в этой области следует рассматривать:</w:t>
      </w:r>
    </w:p>
    <w:p w:rsidR="00DF48C0" w:rsidRDefault="00DF48C0" w:rsidP="00DF48C0">
      <w:pPr>
        <w:pStyle w:val="newncpi"/>
      </w:pPr>
      <w:r>
        <w:t>– создание экономических условий, стимулирующих качественное обновление и развитие парка воздушных судов для выполнения международных и внутренних авиаперевозок;</w:t>
      </w:r>
    </w:p>
    <w:p w:rsidR="00DF48C0" w:rsidRDefault="00DF48C0" w:rsidP="00DF48C0">
      <w:pPr>
        <w:pStyle w:val="newncpi"/>
      </w:pPr>
      <w:r>
        <w:t>– поддержку кооперации разработчиков и производителей авиационной техники, консолидацию ресурсов и координацию организационных мер, направленных на разработку и серийное производство конкурентоспособной авиатехники;</w:t>
      </w:r>
    </w:p>
    <w:p w:rsidR="00DF48C0" w:rsidRDefault="00DF48C0" w:rsidP="00DF48C0">
      <w:pPr>
        <w:pStyle w:val="newncpi"/>
      </w:pPr>
      <w:r>
        <w:t>– совершенствование системы сертификации авиационной техники и предприятий по ее производству, техническому обслуживанию и ремонту;</w:t>
      </w:r>
    </w:p>
    <w:p w:rsidR="00DF48C0" w:rsidRDefault="00DF48C0" w:rsidP="00DF48C0">
      <w:pPr>
        <w:pStyle w:val="newncpi"/>
      </w:pPr>
      <w:proofErr w:type="gramStart"/>
      <w:r>
        <w:t>– совершенствование механизмов регулирования и надзора в области обеспечения безопасности полетов воздушных судов на государственном и региональном уровнях, развитие международной системы независимого расследования авиационных происшествий в соответствии со Стандартами и Рекомендуемой практикой ИКАО;</w:t>
      </w:r>
      <w:proofErr w:type="gramEnd"/>
    </w:p>
    <w:p w:rsidR="00DF48C0" w:rsidRDefault="00DF48C0" w:rsidP="00DF48C0">
      <w:pPr>
        <w:pStyle w:val="newncpi"/>
      </w:pPr>
      <w:r>
        <w:t>– совершенствование национальных и межгосударственных нормативных документов, регламентирующих функционирование системы авиационной безопасности, гармонизированных со Стандартами и Рекомендуемой практикой ИКАО, а также рекомендациями специализированной антитеррористической структуры;</w:t>
      </w:r>
    </w:p>
    <w:p w:rsidR="00DF48C0" w:rsidRDefault="00DF48C0" w:rsidP="00DF48C0">
      <w:pPr>
        <w:pStyle w:val="newncpi"/>
      </w:pPr>
      <w:proofErr w:type="gramStart"/>
      <w:r>
        <w:t>– координацию работ по внедрению гармонизированных стандартов, норм, программ и требований к обучению и уровню профессиональной подготовки авиационного персонала, развитие кооперации между учебными заведениями гражданской авиации и принятие национальных и международных правовых актов по взаимному признанию документов об образовании, полученных авиационным персоналом в учебных заведениях гражданской авиации государств – участников СНГ, а также сертификатов на право выполнения работ.</w:t>
      </w:r>
      <w:proofErr w:type="gramEnd"/>
    </w:p>
    <w:p w:rsidR="00DF48C0" w:rsidRDefault="00DF48C0" w:rsidP="00DF48C0">
      <w:pPr>
        <w:pStyle w:val="point"/>
        <w:spacing w:before="120"/>
        <w:outlineLvl w:val="0"/>
      </w:pPr>
      <w:r>
        <w:rPr>
          <w:b/>
          <w:bCs/>
        </w:rPr>
        <w:t>6. Повышение уровня взаимодействия между различными видами транспорта</w:t>
      </w:r>
    </w:p>
    <w:p w:rsidR="00DF48C0" w:rsidRDefault="00DF48C0" w:rsidP="00DF48C0">
      <w:pPr>
        <w:pStyle w:val="newncpi"/>
      </w:pPr>
      <w:r>
        <w:rPr>
          <w:i/>
          <w:iCs/>
        </w:rPr>
        <w:t>В качестве основных задач в этой области целесообразно рассматривать:</w:t>
      </w:r>
    </w:p>
    <w:p w:rsidR="00DF48C0" w:rsidRDefault="00DF48C0" w:rsidP="00DF48C0">
      <w:pPr>
        <w:pStyle w:val="newncpi"/>
      </w:pPr>
      <w:r>
        <w:t>– совершенствование взаимодействия национальных транспортных систем;</w:t>
      </w:r>
    </w:p>
    <w:p w:rsidR="00DF48C0" w:rsidRDefault="00DF48C0" w:rsidP="00DF48C0">
      <w:pPr>
        <w:pStyle w:val="newncpi"/>
      </w:pPr>
      <w:r>
        <w:t>– осуществление разработок, направленных на транспортно-логистическое обеспечение взаимодействия видов транспорта при осуществлении международных перевозок в рамках МТК;</w:t>
      </w:r>
    </w:p>
    <w:p w:rsidR="00DF48C0" w:rsidRDefault="00DF48C0" w:rsidP="00DF48C0">
      <w:pPr>
        <w:pStyle w:val="newncpi"/>
      </w:pPr>
      <w:r>
        <w:t xml:space="preserve">– формирование системы </w:t>
      </w:r>
      <w:proofErr w:type="spellStart"/>
      <w:r>
        <w:t>мультимодальных</w:t>
      </w:r>
      <w:proofErr w:type="spellEnd"/>
      <w:r>
        <w:t xml:space="preserve"> транспортно-логистических центров как основных системообразующих элементов сети международных транспортных коридоров СНГ, обеспечивающих скоординированное взаимодействие всех участников международного транспортного процесса и оптимизацию товародвижения;</w:t>
      </w:r>
    </w:p>
    <w:p w:rsidR="00DF48C0" w:rsidRDefault="00DF48C0" w:rsidP="00DF48C0">
      <w:pPr>
        <w:pStyle w:val="newncpi"/>
      </w:pPr>
      <w:r>
        <w:t>– создание условий для оптимального взаимодействия видов транспорта, увеличения объемов перевозок и повышения эффективности автомобильн</w:t>
      </w:r>
      <w:proofErr w:type="gramStart"/>
      <w:r>
        <w:t>о-</w:t>
      </w:r>
      <w:proofErr w:type="gramEnd"/>
      <w:r>
        <w:t xml:space="preserve"> и железнодорожно-паромного сообщений между государствами – участниками СНГ на основе транспортной логистики и принципов </w:t>
      </w:r>
      <w:proofErr w:type="spellStart"/>
      <w:r>
        <w:t>мультимодальности</w:t>
      </w:r>
      <w:proofErr w:type="spellEnd"/>
      <w:r>
        <w:t xml:space="preserve"> с использованием современных средств и систем транспортировки;</w:t>
      </w:r>
    </w:p>
    <w:p w:rsidR="00DF48C0" w:rsidRDefault="00DF48C0" w:rsidP="00DF48C0">
      <w:pPr>
        <w:pStyle w:val="newncpi"/>
      </w:pPr>
      <w:r>
        <w:lastRenderedPageBreak/>
        <w:t>– совершенствование системы информационного обмена, учета и документооборота на основе использования международных стандартов и нормативов как одного из ключевых элементов обеспечения взаимодействия на стыках видов транспорта.</w:t>
      </w:r>
    </w:p>
    <w:p w:rsidR="00DF48C0" w:rsidRDefault="00DF48C0" w:rsidP="00DF48C0">
      <w:pPr>
        <w:pStyle w:val="newncpi"/>
      </w:pPr>
      <w:r>
        <w:t xml:space="preserve">В качестве </w:t>
      </w:r>
      <w:r>
        <w:rPr>
          <w:i/>
        </w:rPr>
        <w:t>первоочередных мероприятий</w:t>
      </w:r>
      <w:r>
        <w:t xml:space="preserve"> предполагается реализация соответствующих положений Концепции согласованной транспортной политики государств – участников СНГ на период до 2010 года, а также международных договоров, регулирующих взаимодействие госуда</w:t>
      </w:r>
      <w:proofErr w:type="gramStart"/>
      <w:r>
        <w:t>рств пр</w:t>
      </w:r>
      <w:proofErr w:type="gramEnd"/>
      <w:r>
        <w:t>и обеспечении сотрудничества в различных видах транспорта.</w:t>
      </w:r>
    </w:p>
    <w:p w:rsidR="00DF48C0" w:rsidRDefault="00DF48C0" w:rsidP="00DF48C0">
      <w:pPr>
        <w:pStyle w:val="point"/>
        <w:spacing w:before="120"/>
        <w:outlineLvl w:val="0"/>
      </w:pPr>
      <w:r>
        <w:rPr>
          <w:b/>
          <w:bCs/>
        </w:rPr>
        <w:t>7. Совершенствование нормативно-правового обеспечения сотрудничества в области транспорта</w:t>
      </w:r>
    </w:p>
    <w:p w:rsidR="00DF48C0" w:rsidRDefault="00DF48C0" w:rsidP="00DF48C0">
      <w:pPr>
        <w:pStyle w:val="newncpi"/>
      </w:pPr>
      <w:r>
        <w:rPr>
          <w:i/>
          <w:iCs/>
        </w:rPr>
        <w:t>В качестве основных задач в этой области целесообразно рассматривать:</w:t>
      </w:r>
    </w:p>
    <w:p w:rsidR="00DF48C0" w:rsidRDefault="00DF48C0" w:rsidP="00DF48C0">
      <w:pPr>
        <w:pStyle w:val="newncpi"/>
      </w:pPr>
      <w:proofErr w:type="gramStart"/>
      <w:r>
        <w:t>– разработку и принятие в рамках СНГ международных договоров, создающих правовые условия для реализации приоритетных направлений транспортного сотрудничества, приведенных выше;</w:t>
      </w:r>
      <w:proofErr w:type="gramEnd"/>
    </w:p>
    <w:p w:rsidR="00DF48C0" w:rsidRDefault="00DF48C0" w:rsidP="00DF48C0">
      <w:pPr>
        <w:pStyle w:val="newncpi"/>
      </w:pPr>
      <w:proofErr w:type="gramStart"/>
      <w:r>
        <w:t>– дальнейшую гармонизацию законодательства государств – участников СНГ в транспортной сфере в целях обеспечения интеграции различных видов транспорта государств – участников СНГ в европейскую и азиатскую транспортные системы;</w:t>
      </w:r>
      <w:proofErr w:type="gramEnd"/>
    </w:p>
    <w:p w:rsidR="00DF48C0" w:rsidRDefault="00DF48C0" w:rsidP="00DF48C0">
      <w:pPr>
        <w:pStyle w:val="newncpi"/>
      </w:pPr>
      <w:r>
        <w:t>– разработку и принятие в рамках СНГ рекомендательных (модельных) нормативных правовых актов в транспортной сфере и дорожном хозяйстве;</w:t>
      </w:r>
    </w:p>
    <w:p w:rsidR="00DF48C0" w:rsidRDefault="00DF48C0" w:rsidP="00DF48C0">
      <w:pPr>
        <w:pStyle w:val="newncpi"/>
      </w:pPr>
      <w:r>
        <w:t>– разработку межгосударственных программ государств – участников СНГ в области транспорта;</w:t>
      </w:r>
    </w:p>
    <w:p w:rsidR="00DF48C0" w:rsidRDefault="00DF48C0" w:rsidP="00DF48C0">
      <w:pPr>
        <w:pStyle w:val="newncpi"/>
      </w:pPr>
      <w:r>
        <w:t>– инвентаризацию договорно-правовой базы СНГ с подготовкой предложений о прекращении международных договоров, потерявших актуальность;</w:t>
      </w:r>
    </w:p>
    <w:p w:rsidR="00DF48C0" w:rsidRDefault="00DF48C0" w:rsidP="00DF48C0">
      <w:pPr>
        <w:pStyle w:val="newncpi"/>
      </w:pPr>
      <w:r>
        <w:t>– гармонизацию законодательства государств – участников СНГ в транспортной сфере в целях развития перевозок, осуществляемых между транспортно-логистическими консолидирующими центрами.</w:t>
      </w:r>
    </w:p>
    <w:p w:rsidR="00DF48C0" w:rsidRDefault="00DF48C0" w:rsidP="00DF48C0">
      <w:pPr>
        <w:pStyle w:val="newncpi"/>
        <w:jc w:val="center"/>
      </w:pPr>
      <w:r>
        <w:t>* * *</w:t>
      </w:r>
    </w:p>
    <w:p w:rsidR="00DF48C0" w:rsidRDefault="00DF48C0" w:rsidP="00DF48C0">
      <w:pPr>
        <w:pStyle w:val="newncpi"/>
      </w:pPr>
      <w:r>
        <w:rPr>
          <w:b/>
          <w:bCs/>
        </w:rPr>
        <w:t>Органами отраслевого сотрудничества СНГ в сфере транспорта и дорожного хозяйства, реализующими основные мероприятия приоритетных направлений, являются:</w:t>
      </w:r>
    </w:p>
    <w:p w:rsidR="00DF48C0" w:rsidRDefault="00DF48C0" w:rsidP="00DF48C0">
      <w:pPr>
        <w:pStyle w:val="newncpi"/>
      </w:pPr>
      <w:r>
        <w:t>Координационное транспортное совещание государств – участников Содружества Независимых Государств, в составе которого функционируют Совет по автомобильному транспорту и Совет государственных администраций морского и речного транспорта;</w:t>
      </w:r>
    </w:p>
    <w:p w:rsidR="00DF48C0" w:rsidRDefault="00DF48C0" w:rsidP="00DF48C0">
      <w:pPr>
        <w:pStyle w:val="newncpi"/>
      </w:pPr>
      <w:r>
        <w:t>Совет по железнодорожному транспорту государств – участников Содружества;</w:t>
      </w:r>
    </w:p>
    <w:p w:rsidR="00DF48C0" w:rsidRDefault="00DF48C0" w:rsidP="00DF48C0">
      <w:pPr>
        <w:pStyle w:val="newncpi"/>
      </w:pPr>
      <w:r>
        <w:t>Межправительственный совет дорожников;</w:t>
      </w:r>
    </w:p>
    <w:p w:rsidR="00DF48C0" w:rsidRDefault="00DF48C0" w:rsidP="00DF48C0">
      <w:pPr>
        <w:pStyle w:val="newncpi"/>
      </w:pPr>
      <w:r>
        <w:t>Совет по авиации и использованию воздушного пространства и Межгосударственный авиационный комитет;</w:t>
      </w:r>
    </w:p>
    <w:p w:rsidR="00DF48C0" w:rsidRDefault="00DF48C0" w:rsidP="00DF48C0">
      <w:pPr>
        <w:pStyle w:val="newncpi"/>
      </w:pPr>
      <w:r>
        <w:t>иные органы отраслевого сотрудничества СНГ, в компетенцию которых входят вопросы, связанные с осуществлением транспортных перевозок по территории государств – участников СНГ.</w:t>
      </w:r>
    </w:p>
    <w:p w:rsidR="00DF48C0" w:rsidRDefault="00DF48C0" w:rsidP="00DF48C0">
      <w:pPr>
        <w:pStyle w:val="newncpi"/>
      </w:pPr>
      <w:r>
        <w:t>При этом создание условий для координации функционирования указанных органов отраслевого сотрудничества при реализации приоритетных направлений в части обеспечения взаимодействия видов транспорта следует рассматривать в качестве ключевой задачи.</w:t>
      </w:r>
    </w:p>
    <w:p w:rsidR="00DF48C0" w:rsidRDefault="00DF48C0" w:rsidP="00DF48C0">
      <w:pPr>
        <w:pStyle w:val="newncpi"/>
      </w:pPr>
      <w:r>
        <w:t>В реализации Приоритетных направлений принимают также участие Международная академия транспорта, национальные научно-исследовательские институты в области транспорта, Исполнительный комитет СНГ.</w:t>
      </w:r>
    </w:p>
    <w:p w:rsidR="00DF48C0" w:rsidRDefault="00DF48C0" w:rsidP="00DF48C0">
      <w:pPr>
        <w:pStyle w:val="nonumheader"/>
      </w:pPr>
      <w:bookmarkStart w:id="2" w:name="аз"/>
      <w:r>
        <w:t>ОСОБОЕ МНЕНИЕ</w:t>
      </w:r>
      <w:r>
        <w:br/>
      </w:r>
      <w:bookmarkEnd w:id="2"/>
      <w:r>
        <w:t>Азербайджанской Республики</w:t>
      </w:r>
    </w:p>
    <w:p w:rsidR="00DF48C0" w:rsidRDefault="00DF48C0" w:rsidP="00DF48C0">
      <w:pPr>
        <w:pStyle w:val="newncpi"/>
      </w:pPr>
      <w:r>
        <w:t>Азербайджанская Республика принимает положения Приоритетных направлений сотрудничества государств – участников СНГ в сфере транспорта на период до 2020 года с учетом их соответствия национальному законодательству и международным обязательствам Азербайджана.</w:t>
      </w:r>
    </w:p>
    <w:p w:rsidR="00DF48C0" w:rsidRDefault="00DF48C0" w:rsidP="00DF48C0">
      <w:pPr>
        <w:pStyle w:val="newncpi"/>
      </w:pPr>
      <w:proofErr w:type="gramStart"/>
      <w:r>
        <w:lastRenderedPageBreak/>
        <w:t>Азербайджанская Республика не принимает положения Приоритетных направлений сотрудничества государств – участников СНГ в сфере транспорта на период до 2020 года, направленные на стратегическое взаимодействие, достижение интеграционных целей, гармонизацию и координацию в транспортной сфере, согласованность транспортной политики, формирование сети международных транспортных коридоров на территориях государств – участников СНГ, выработку и реализацию согласованной тарифной политики, и гармонизацию национальных законодательств государств – участников СНГ.</w:t>
      </w:r>
      <w:proofErr w:type="gramEnd"/>
    </w:p>
    <w:p w:rsidR="00DF48C0" w:rsidRDefault="00DF48C0" w:rsidP="00DF48C0">
      <w:pPr>
        <w:pStyle w:val="newncpi"/>
      </w:pPr>
      <w:r>
        <w:t>Никакие из прав, обязанностей и положений, изложенных в Приоритетных направлениях сотрудничества государств – участников СНГ в сфере транспорта на период до 2020 года, не будут приниматься Азербайджанской Республикой в отношении Республики Армения до освобождения всех оккупированных территорий Азербайджанской Республики и полного устранения последствий агрессии.</w:t>
      </w:r>
    </w:p>
    <w:p w:rsidR="00DF48C0" w:rsidRDefault="00DF48C0" w:rsidP="00DF48C0">
      <w:pPr>
        <w:pStyle w:val="newncpi"/>
      </w:pPr>
      <w:r>
        <w:t>Азербайджанская Республика будет принимать отдельное решение о своем участии по реализации каждого из разделов и пунктов Приоритетных направлений сотрудничества государств – участников СНГ в сфере транспорта на период до 2020 года.</w:t>
      </w:r>
    </w:p>
    <w:p w:rsidR="00DF48C0" w:rsidRDefault="00DF48C0" w:rsidP="00DF4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4"/>
        <w:gridCol w:w="3742"/>
      </w:tblGrid>
      <w:tr w:rsidR="00DF48C0" w:rsidTr="00DF48C0">
        <w:tc>
          <w:tcPr>
            <w:tcW w:w="3000" w:type="pct"/>
          </w:tcPr>
          <w:p w:rsidR="00DF48C0" w:rsidRDefault="00DF48C0" w:rsidP="00DF48C0">
            <w:pPr>
              <w:pStyle w:val="newncpi"/>
              <w:ind w:firstLine="0"/>
              <w:jc w:val="left"/>
            </w:pPr>
            <w:r w:rsidRPr="00BB6C79">
              <w:rPr>
                <w:rStyle w:val="post"/>
              </w:rPr>
              <w:t>Премьер-министр Азербайджанской Республики</w:t>
            </w:r>
          </w:p>
        </w:tc>
        <w:tc>
          <w:tcPr>
            <w:tcW w:w="2000" w:type="pct"/>
            <w:vAlign w:val="bottom"/>
          </w:tcPr>
          <w:p w:rsidR="00DF48C0" w:rsidRDefault="00DF48C0" w:rsidP="00DF48C0">
            <w:pPr>
              <w:pStyle w:val="newncpi"/>
              <w:ind w:firstLine="0"/>
              <w:jc w:val="right"/>
            </w:pPr>
            <w:r w:rsidRPr="00BB6C79">
              <w:rPr>
                <w:rStyle w:val="pers"/>
              </w:rPr>
              <w:t xml:space="preserve">А. </w:t>
            </w:r>
            <w:proofErr w:type="spellStart"/>
            <w:r w:rsidRPr="00BB6C79">
              <w:rPr>
                <w:rStyle w:val="pers"/>
              </w:rPr>
              <w:t>Раси</w:t>
            </w:r>
            <w:proofErr w:type="spellEnd"/>
            <w:r w:rsidRPr="00BB6C79">
              <w:rPr>
                <w:rStyle w:val="pers"/>
              </w:rPr>
              <w:t>-заде</w:t>
            </w:r>
          </w:p>
        </w:tc>
      </w:tr>
    </w:tbl>
    <w:p w:rsidR="00DF48C0" w:rsidRDefault="00DF48C0" w:rsidP="00DF48C0">
      <w:pPr>
        <w:pStyle w:val="newncpi"/>
      </w:pPr>
      <w:r>
        <w:t> </w:t>
      </w:r>
    </w:p>
    <w:p w:rsidR="00DF48C0" w:rsidRDefault="00DF48C0" w:rsidP="00DF48C0">
      <w:pPr>
        <w:pStyle w:val="nonumheader"/>
      </w:pPr>
      <w:bookmarkStart w:id="3" w:name="арм"/>
      <w:bookmarkEnd w:id="3"/>
      <w:r>
        <w:t xml:space="preserve">ОСОБОЕ МНЕНИЕ </w:t>
      </w:r>
      <w:r>
        <w:br/>
        <w:t>Республики Армения</w:t>
      </w:r>
    </w:p>
    <w:p w:rsidR="00DF48C0" w:rsidRDefault="00DF48C0" w:rsidP="00DF48C0">
      <w:pPr>
        <w:pStyle w:val="newncpi"/>
      </w:pPr>
      <w:r>
        <w:t>Республика Армения считает несовместимой с объектом и целями указанного документа продолжающуюся транспортную блокаду Республики Армения со стороны Азербайджанской Республики.</w:t>
      </w:r>
    </w:p>
    <w:p w:rsidR="00DF48C0" w:rsidRDefault="00DF48C0" w:rsidP="00DF48C0">
      <w:pPr>
        <w:pStyle w:val="newncpi"/>
      </w:pPr>
      <w:r>
        <w:t>Попытки искаженного представления Азербайджанской Республикой последствий применения военной силы против самоопределившегося народа Нагорного Карабаха и агрессии в отношении Нагорно-Карабахской Республики, а также непрекращающаяся транспортная блокада неприемлемы для Республики Армения и противоречат обязательствам Азербайджанской Республики по созданию условий для реализации мер по укреплению доверия между вовлеченными в конфликт сторонами.</w:t>
      </w:r>
    </w:p>
    <w:p w:rsidR="00DF48C0" w:rsidRDefault="00DF48C0" w:rsidP="00DF4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4"/>
        <w:gridCol w:w="3742"/>
      </w:tblGrid>
      <w:tr w:rsidR="00DF48C0" w:rsidTr="00DF48C0">
        <w:tc>
          <w:tcPr>
            <w:tcW w:w="3000" w:type="pct"/>
          </w:tcPr>
          <w:p w:rsidR="00DF48C0" w:rsidRDefault="00DF48C0" w:rsidP="00DF48C0">
            <w:pPr>
              <w:pStyle w:val="newncpi"/>
              <w:ind w:firstLine="0"/>
              <w:jc w:val="left"/>
            </w:pPr>
            <w:r w:rsidRPr="00BB6C79">
              <w:rPr>
                <w:rStyle w:val="post"/>
              </w:rPr>
              <w:t>Премьер-министр Республики Армения</w:t>
            </w:r>
          </w:p>
        </w:tc>
        <w:tc>
          <w:tcPr>
            <w:tcW w:w="2000" w:type="pct"/>
            <w:vAlign w:val="bottom"/>
          </w:tcPr>
          <w:p w:rsidR="00DF48C0" w:rsidRDefault="00DF48C0" w:rsidP="00DF48C0">
            <w:pPr>
              <w:pStyle w:val="newncpi"/>
              <w:ind w:firstLine="0"/>
              <w:jc w:val="right"/>
            </w:pPr>
            <w:r w:rsidRPr="00BB6C79">
              <w:rPr>
                <w:rStyle w:val="pers"/>
              </w:rPr>
              <w:t>Т. Саркисян</w:t>
            </w:r>
          </w:p>
        </w:tc>
      </w:tr>
    </w:tbl>
    <w:p w:rsidR="00DF48C0" w:rsidRDefault="00DF48C0" w:rsidP="00DF48C0">
      <w:pPr>
        <w:pStyle w:val="newncpi"/>
      </w:pPr>
      <w:r>
        <w:t> </w:t>
      </w:r>
    </w:p>
    <w:p w:rsidR="00DF48C0" w:rsidRDefault="00DF48C0" w:rsidP="00DF48C0">
      <w:pPr>
        <w:pStyle w:val="nonumheader"/>
      </w:pPr>
      <w:bookmarkStart w:id="4" w:name="молд"/>
      <w:r>
        <w:t>ОГОВОРКА</w:t>
      </w:r>
      <w:r>
        <w:br/>
      </w:r>
      <w:bookmarkEnd w:id="4"/>
      <w:r>
        <w:t>Республики Молдова</w:t>
      </w:r>
    </w:p>
    <w:p w:rsidR="00DF48C0" w:rsidRDefault="00DF48C0" w:rsidP="00DF48C0">
      <w:pPr>
        <w:pStyle w:val="newncpi"/>
      </w:pPr>
      <w:r>
        <w:t>Республика Молдова будет участвовать в выполнении положений Решения «О Приоритетных направлениях сотрудничества государств – участников СНГ в сфере транспорта на период до 2020 года» в соответствии с национальным законодательством и взятыми международными обязательствами.</w:t>
      </w:r>
    </w:p>
    <w:p w:rsidR="00DF48C0" w:rsidRDefault="00DF48C0" w:rsidP="00DF48C0">
      <w:pPr>
        <w:pStyle w:val="newncpi"/>
      </w:pPr>
      <w:r>
        <w:t>Настоящее Решение вступит в силу для Республики Молдова после выполнения внутригосударственных процедур.</w:t>
      </w:r>
    </w:p>
    <w:p w:rsidR="00DF48C0" w:rsidRDefault="00DF48C0" w:rsidP="00DF4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4"/>
        <w:gridCol w:w="3742"/>
      </w:tblGrid>
      <w:tr w:rsidR="00DF48C0" w:rsidTr="00DF48C0">
        <w:tc>
          <w:tcPr>
            <w:tcW w:w="3000" w:type="pct"/>
          </w:tcPr>
          <w:p w:rsidR="00DF48C0" w:rsidRDefault="00DF48C0" w:rsidP="00DF48C0">
            <w:pPr>
              <w:pStyle w:val="newncpi"/>
              <w:ind w:firstLine="0"/>
              <w:jc w:val="left"/>
            </w:pPr>
            <w:r w:rsidRPr="00BB6C79">
              <w:rPr>
                <w:rStyle w:val="post"/>
              </w:rPr>
              <w:t>Премьер-министр Республики Молдова</w:t>
            </w:r>
          </w:p>
        </w:tc>
        <w:tc>
          <w:tcPr>
            <w:tcW w:w="2000" w:type="pct"/>
            <w:vAlign w:val="bottom"/>
          </w:tcPr>
          <w:p w:rsidR="00DF48C0" w:rsidRDefault="00DF48C0" w:rsidP="00DF48C0">
            <w:pPr>
              <w:pStyle w:val="newncpi"/>
              <w:ind w:firstLine="0"/>
              <w:jc w:val="right"/>
            </w:pPr>
            <w:r w:rsidRPr="00BB6C79">
              <w:rPr>
                <w:rStyle w:val="pers"/>
              </w:rPr>
              <w:t xml:space="preserve">З. </w:t>
            </w:r>
            <w:proofErr w:type="spellStart"/>
            <w:r w:rsidRPr="00BB6C79">
              <w:rPr>
                <w:rStyle w:val="pers"/>
              </w:rPr>
              <w:t>Гречаный</w:t>
            </w:r>
            <w:proofErr w:type="spellEnd"/>
          </w:p>
        </w:tc>
      </w:tr>
    </w:tbl>
    <w:p w:rsidR="00DF48C0" w:rsidRDefault="00DF48C0" w:rsidP="00DF48C0">
      <w:pPr>
        <w:pStyle w:val="newncpi"/>
      </w:pPr>
      <w:r>
        <w:t> </w:t>
      </w:r>
    </w:p>
    <w:p w:rsidR="00DF48C0" w:rsidRDefault="00DF48C0" w:rsidP="00DF48C0">
      <w:pPr>
        <w:pStyle w:val="nonumheader"/>
      </w:pPr>
      <w:bookmarkStart w:id="5" w:name="укр"/>
      <w:r>
        <w:t xml:space="preserve">ОГОВОРКА </w:t>
      </w:r>
      <w:r>
        <w:br/>
      </w:r>
      <w:bookmarkEnd w:id="5"/>
      <w:r>
        <w:t>Украины</w:t>
      </w:r>
    </w:p>
    <w:p w:rsidR="00DF48C0" w:rsidRDefault="00DF48C0" w:rsidP="00DF48C0">
      <w:pPr>
        <w:pStyle w:val="newncpi"/>
      </w:pPr>
      <w:r>
        <w:t>За исключением положений, касающихся гармонизации законодательств, систем, правил и требований, сохранения единых стандартов образования, принятия модельных нормативных правовых актов и региональной экономической интеграции государств – участников СНГ в транспортной сфере.</w:t>
      </w:r>
    </w:p>
    <w:p w:rsidR="00DF48C0" w:rsidRDefault="00DF48C0" w:rsidP="00DF48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4"/>
        <w:gridCol w:w="3742"/>
      </w:tblGrid>
      <w:tr w:rsidR="00DF48C0" w:rsidTr="00DF48C0">
        <w:tc>
          <w:tcPr>
            <w:tcW w:w="3000" w:type="pct"/>
          </w:tcPr>
          <w:p w:rsidR="00DF48C0" w:rsidRDefault="00DF48C0" w:rsidP="00DF48C0">
            <w:pPr>
              <w:pStyle w:val="newncpi"/>
              <w:ind w:firstLine="0"/>
              <w:jc w:val="left"/>
            </w:pPr>
            <w:r w:rsidRPr="00BB6C79">
              <w:rPr>
                <w:rStyle w:val="post"/>
              </w:rPr>
              <w:t>Премьер-министр Украины</w:t>
            </w:r>
          </w:p>
        </w:tc>
        <w:tc>
          <w:tcPr>
            <w:tcW w:w="2000" w:type="pct"/>
            <w:vAlign w:val="bottom"/>
          </w:tcPr>
          <w:p w:rsidR="00DF48C0" w:rsidRDefault="00DF48C0" w:rsidP="00DF48C0">
            <w:pPr>
              <w:pStyle w:val="newncpi"/>
              <w:ind w:firstLine="0"/>
              <w:jc w:val="right"/>
            </w:pPr>
            <w:r w:rsidRPr="00BB6C79">
              <w:rPr>
                <w:rStyle w:val="pers"/>
              </w:rPr>
              <w:t>Ю. Тимошенко</w:t>
            </w:r>
          </w:p>
        </w:tc>
      </w:tr>
    </w:tbl>
    <w:p w:rsidR="00A528A1" w:rsidRPr="00AD692F" w:rsidRDefault="00A528A1" w:rsidP="00DF48C0">
      <w:pPr>
        <w:rPr>
          <w:lang w:val="en-US"/>
        </w:rPr>
      </w:pPr>
    </w:p>
    <w:sectPr w:rsidR="00A528A1" w:rsidRPr="00AD692F">
      <w:pgSz w:w="11907" w:h="16840"/>
      <w:pgMar w:top="567" w:right="113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C0"/>
    <w:rsid w:val="00057967"/>
    <w:rsid w:val="000F3550"/>
    <w:rsid w:val="001F6AC7"/>
    <w:rsid w:val="003A03ED"/>
    <w:rsid w:val="003D77A5"/>
    <w:rsid w:val="004E7415"/>
    <w:rsid w:val="00594706"/>
    <w:rsid w:val="00595BEF"/>
    <w:rsid w:val="005F234F"/>
    <w:rsid w:val="00654C86"/>
    <w:rsid w:val="006613CB"/>
    <w:rsid w:val="00765964"/>
    <w:rsid w:val="00806832"/>
    <w:rsid w:val="008E67BB"/>
    <w:rsid w:val="00984EFE"/>
    <w:rsid w:val="009D0C3E"/>
    <w:rsid w:val="00A455EA"/>
    <w:rsid w:val="00A528A1"/>
    <w:rsid w:val="00AD692F"/>
    <w:rsid w:val="00BA5B64"/>
    <w:rsid w:val="00C51212"/>
    <w:rsid w:val="00D91BB5"/>
    <w:rsid w:val="00DF48C0"/>
    <w:rsid w:val="00E736B7"/>
    <w:rsid w:val="00F3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48C0"/>
    <w:rPr>
      <w:rFonts w:ascii="Tahoma" w:hAnsi="Tahoma" w:cs="Tahoma"/>
      <w:sz w:val="16"/>
      <w:szCs w:val="16"/>
    </w:rPr>
  </w:style>
  <w:style w:type="character" w:styleId="a4">
    <w:name w:val="Hyperlink"/>
    <w:rsid w:val="00DF48C0"/>
    <w:rPr>
      <w:color w:val="0000FF"/>
      <w:u w:val="single"/>
    </w:rPr>
  </w:style>
  <w:style w:type="paragraph" w:customStyle="1" w:styleId="title">
    <w:name w:val="title"/>
    <w:basedOn w:val="a"/>
    <w:rsid w:val="00DF48C0"/>
    <w:pPr>
      <w:spacing w:before="240" w:after="240"/>
      <w:ind w:right="2268"/>
    </w:pPr>
    <w:rPr>
      <w:b/>
      <w:bCs/>
      <w:sz w:val="22"/>
      <w:szCs w:val="22"/>
    </w:rPr>
  </w:style>
  <w:style w:type="paragraph" w:customStyle="1" w:styleId="point">
    <w:name w:val="point"/>
    <w:basedOn w:val="a"/>
    <w:rsid w:val="00DF48C0"/>
    <w:pPr>
      <w:ind w:firstLine="567"/>
      <w:jc w:val="both"/>
    </w:pPr>
  </w:style>
  <w:style w:type="paragraph" w:customStyle="1" w:styleId="underpoint">
    <w:name w:val="underpoint"/>
    <w:basedOn w:val="a"/>
    <w:rsid w:val="00DF48C0"/>
    <w:pPr>
      <w:ind w:firstLine="567"/>
      <w:jc w:val="both"/>
    </w:pPr>
  </w:style>
  <w:style w:type="paragraph" w:customStyle="1" w:styleId="preamble">
    <w:name w:val="preamble"/>
    <w:basedOn w:val="a"/>
    <w:rsid w:val="00DF48C0"/>
    <w:pPr>
      <w:ind w:firstLine="567"/>
      <w:jc w:val="both"/>
    </w:pPr>
  </w:style>
  <w:style w:type="paragraph" w:customStyle="1" w:styleId="nonumheader">
    <w:name w:val="nonumheader"/>
    <w:basedOn w:val="a"/>
    <w:rsid w:val="00DF48C0"/>
    <w:pPr>
      <w:spacing w:before="240" w:after="240"/>
      <w:jc w:val="center"/>
    </w:pPr>
    <w:rPr>
      <w:b/>
      <w:bCs/>
    </w:rPr>
  </w:style>
  <w:style w:type="paragraph" w:customStyle="1" w:styleId="cap1">
    <w:name w:val="cap1"/>
    <w:basedOn w:val="a"/>
    <w:rsid w:val="00DF48C0"/>
    <w:rPr>
      <w:sz w:val="22"/>
      <w:szCs w:val="22"/>
    </w:rPr>
  </w:style>
  <w:style w:type="paragraph" w:customStyle="1" w:styleId="capu1">
    <w:name w:val="capu1"/>
    <w:basedOn w:val="a"/>
    <w:rsid w:val="00DF48C0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DF48C0"/>
    <w:pPr>
      <w:ind w:firstLine="567"/>
      <w:jc w:val="both"/>
    </w:pPr>
  </w:style>
  <w:style w:type="character" w:customStyle="1" w:styleId="post">
    <w:name w:val="post"/>
    <w:rsid w:val="00DF48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F48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grame">
    <w:name w:val="grame"/>
    <w:basedOn w:val="a0"/>
    <w:rsid w:val="00DF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8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48C0"/>
    <w:rPr>
      <w:rFonts w:ascii="Tahoma" w:hAnsi="Tahoma" w:cs="Tahoma"/>
      <w:sz w:val="16"/>
      <w:szCs w:val="16"/>
    </w:rPr>
  </w:style>
  <w:style w:type="character" w:styleId="a4">
    <w:name w:val="Hyperlink"/>
    <w:rsid w:val="00DF48C0"/>
    <w:rPr>
      <w:color w:val="0000FF"/>
      <w:u w:val="single"/>
    </w:rPr>
  </w:style>
  <w:style w:type="paragraph" w:customStyle="1" w:styleId="title">
    <w:name w:val="title"/>
    <w:basedOn w:val="a"/>
    <w:rsid w:val="00DF48C0"/>
    <w:pPr>
      <w:spacing w:before="240" w:after="240"/>
      <w:ind w:right="2268"/>
    </w:pPr>
    <w:rPr>
      <w:b/>
      <w:bCs/>
      <w:sz w:val="22"/>
      <w:szCs w:val="22"/>
    </w:rPr>
  </w:style>
  <w:style w:type="paragraph" w:customStyle="1" w:styleId="point">
    <w:name w:val="point"/>
    <w:basedOn w:val="a"/>
    <w:rsid w:val="00DF48C0"/>
    <w:pPr>
      <w:ind w:firstLine="567"/>
      <w:jc w:val="both"/>
    </w:pPr>
  </w:style>
  <w:style w:type="paragraph" w:customStyle="1" w:styleId="underpoint">
    <w:name w:val="underpoint"/>
    <w:basedOn w:val="a"/>
    <w:rsid w:val="00DF48C0"/>
    <w:pPr>
      <w:ind w:firstLine="567"/>
      <w:jc w:val="both"/>
    </w:pPr>
  </w:style>
  <w:style w:type="paragraph" w:customStyle="1" w:styleId="preamble">
    <w:name w:val="preamble"/>
    <w:basedOn w:val="a"/>
    <w:rsid w:val="00DF48C0"/>
    <w:pPr>
      <w:ind w:firstLine="567"/>
      <w:jc w:val="both"/>
    </w:pPr>
  </w:style>
  <w:style w:type="paragraph" w:customStyle="1" w:styleId="nonumheader">
    <w:name w:val="nonumheader"/>
    <w:basedOn w:val="a"/>
    <w:rsid w:val="00DF48C0"/>
    <w:pPr>
      <w:spacing w:before="240" w:after="240"/>
      <w:jc w:val="center"/>
    </w:pPr>
    <w:rPr>
      <w:b/>
      <w:bCs/>
    </w:rPr>
  </w:style>
  <w:style w:type="paragraph" w:customStyle="1" w:styleId="cap1">
    <w:name w:val="cap1"/>
    <w:basedOn w:val="a"/>
    <w:rsid w:val="00DF48C0"/>
    <w:rPr>
      <w:sz w:val="22"/>
      <w:szCs w:val="22"/>
    </w:rPr>
  </w:style>
  <w:style w:type="paragraph" w:customStyle="1" w:styleId="capu1">
    <w:name w:val="capu1"/>
    <w:basedOn w:val="a"/>
    <w:rsid w:val="00DF48C0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DF48C0"/>
    <w:pPr>
      <w:ind w:firstLine="567"/>
      <w:jc w:val="both"/>
    </w:pPr>
  </w:style>
  <w:style w:type="character" w:customStyle="1" w:styleId="post">
    <w:name w:val="post"/>
    <w:rsid w:val="00DF48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DF48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grame">
    <w:name w:val="grame"/>
    <w:basedOn w:val="a0"/>
    <w:rsid w:val="00DF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minsk.by/reestr/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s.minsk.by/reestr/ru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s.minsk.by/reestr/ru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is.minsk.by/reestr/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s.minsk.by/reestr/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4921</Words>
  <Characters>28052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РЕШЕНИЕ</vt:lpstr>
      <vt:lpstr>РЕШЕНИЕ</vt:lpstr>
    </vt:vector>
  </TitlesOfParts>
  <Company>Депозитарий Исполкома СНГ, тел.: +375 17 222 36 28</Company>
  <LinksUpToDate>false</LinksUpToDate>
  <CharactersWithSpaces>32908</CharactersWithSpaces>
  <SharedDoc>false</SharedDoc>
  <HLinks>
    <vt:vector size="60" baseType="variant">
      <vt:variant>
        <vt:i4>5570634</vt:i4>
      </vt:variant>
      <vt:variant>
        <vt:i4>27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reestr/view/text?doc=2339</vt:lpwstr>
      </vt:variant>
      <vt:variant>
        <vt:i4>5439565</vt:i4>
      </vt:variant>
      <vt:variant>
        <vt:i4>24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reestr/view/text?doc=1467</vt:lpwstr>
      </vt:variant>
      <vt:variant>
        <vt:i4>5898317</vt:i4>
      </vt:variant>
      <vt:variant>
        <vt:i4>21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reestr/view/text?doc=648</vt:lpwstr>
      </vt:variant>
      <vt:variant>
        <vt:i4>6225995</vt:i4>
      </vt:variant>
      <vt:variant>
        <vt:i4>18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reestr/view/text?doc=2298</vt:lpwstr>
      </vt:variant>
      <vt:variant>
        <vt:i4>6225995</vt:i4>
      </vt:variant>
      <vt:variant>
        <vt:i4>15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reestr/view/text?doc=2298</vt:lpwstr>
      </vt:variant>
      <vt:variant>
        <vt:i4>70911043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укр</vt:lpwstr>
      </vt:variant>
      <vt:variant>
        <vt:i4>71304240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арм</vt:lpwstr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молд</vt:lpwstr>
      </vt:variant>
      <vt:variant>
        <vt:i4>70714416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аз</vt:lpwstr>
      </vt:variant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напр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Редактор</dc:creator>
  <cp:lastModifiedBy>Соловьев</cp:lastModifiedBy>
  <cp:revision>2</cp:revision>
  <dcterms:created xsi:type="dcterms:W3CDTF">2016-02-26T10:40:00Z</dcterms:created>
  <dcterms:modified xsi:type="dcterms:W3CDTF">2016-02-26T10:40:00Z</dcterms:modified>
</cp:coreProperties>
</file>